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33" w:type="dxa"/>
        <w:tblLayout w:type="fixed"/>
        <w:tblLook w:val="04A0" w:firstRow="1" w:lastRow="0" w:firstColumn="1" w:lastColumn="0" w:noHBand="0" w:noVBand="1"/>
      </w:tblPr>
      <w:tblGrid>
        <w:gridCol w:w="1980"/>
        <w:gridCol w:w="2977"/>
        <w:gridCol w:w="3402"/>
        <w:gridCol w:w="3685"/>
        <w:gridCol w:w="3089"/>
      </w:tblGrid>
      <w:tr w:rsidR="00D8192C" w:rsidRPr="007151BA" w:rsidTr="00FF0917">
        <w:trPr>
          <w:trHeight w:val="265"/>
        </w:trPr>
        <w:tc>
          <w:tcPr>
            <w:tcW w:w="15133" w:type="dxa"/>
            <w:gridSpan w:val="5"/>
          </w:tcPr>
          <w:p w:rsidR="00D8192C" w:rsidRDefault="00D8192C" w:rsidP="00FE4672">
            <w:pPr>
              <w:spacing w:after="0" w:line="240" w:lineRule="auto"/>
              <w:jc w:val="center"/>
              <w:rPr>
                <w:rFonts w:ascii="Century Gothic" w:hAnsi="Century Gothic" w:cs="Tahoma"/>
                <w:b/>
                <w:bCs/>
                <w:color w:val="000000"/>
              </w:rPr>
            </w:pPr>
            <w:r>
              <w:rPr>
                <w:rFonts w:ascii="Century Gothic" w:hAnsi="Century Gothic" w:cs="Tahoma"/>
                <w:b/>
                <w:bCs/>
                <w:color w:val="000000"/>
              </w:rPr>
              <w:t>Year 10</w:t>
            </w:r>
            <w:r w:rsidRPr="007151BA">
              <w:rPr>
                <w:rFonts w:ascii="Century Gothic" w:hAnsi="Century Gothic" w:cs="Tahoma"/>
                <w:b/>
                <w:bCs/>
                <w:color w:val="000000"/>
              </w:rPr>
              <w:t xml:space="preserve"> - </w:t>
            </w:r>
            <w:r>
              <w:rPr>
                <w:rFonts w:ascii="Century Gothic" w:hAnsi="Century Gothic" w:cs="Tahoma"/>
                <w:b/>
                <w:bCs/>
                <w:color w:val="000000"/>
              </w:rPr>
              <w:t>English</w:t>
            </w:r>
          </w:p>
        </w:tc>
      </w:tr>
      <w:tr w:rsidR="00D8192C" w:rsidRPr="007151BA" w:rsidTr="00D8192C">
        <w:trPr>
          <w:trHeight w:val="1579"/>
        </w:trPr>
        <w:tc>
          <w:tcPr>
            <w:tcW w:w="1980" w:type="dxa"/>
          </w:tcPr>
          <w:p w:rsidR="00D8192C" w:rsidRPr="007151BA" w:rsidRDefault="00D8192C" w:rsidP="00893BFD">
            <w:pPr>
              <w:spacing w:after="0" w:line="240" w:lineRule="auto"/>
              <w:rPr>
                <w:rFonts w:ascii="Century Gothic" w:hAnsi="Century Gothic" w:cs="Tahoma"/>
                <w:b/>
                <w:bCs/>
                <w:color w:val="000000"/>
              </w:rPr>
            </w:pPr>
            <w:r w:rsidRPr="007151BA">
              <w:rPr>
                <w:rFonts w:ascii="Century Gothic" w:hAnsi="Century Gothic" w:cs="Tahoma"/>
                <w:b/>
                <w:bCs/>
                <w:color w:val="000000"/>
              </w:rPr>
              <w:t>Curriculum intent</w:t>
            </w:r>
          </w:p>
        </w:tc>
        <w:tc>
          <w:tcPr>
            <w:tcW w:w="13153" w:type="dxa"/>
            <w:gridSpan w:val="4"/>
          </w:tcPr>
          <w:p w:rsidR="00D8192C" w:rsidRDefault="00D8192C" w:rsidP="00192CBF">
            <w:pPr>
              <w:spacing w:after="0" w:line="240" w:lineRule="auto"/>
              <w:rPr>
                <w:rFonts w:ascii="Century Gothic" w:hAnsi="Century Gothic" w:cs="Tahoma"/>
                <w:bCs/>
                <w:color w:val="000000"/>
              </w:rPr>
            </w:pPr>
            <w:r>
              <w:rPr>
                <w:rFonts w:ascii="Century Gothic" w:hAnsi="Century Gothic" w:cs="Tahoma"/>
                <w:bCs/>
                <w:color w:val="000000"/>
              </w:rPr>
              <w:t>Year 10</w:t>
            </w:r>
            <w:r w:rsidRPr="00192CBF">
              <w:rPr>
                <w:rFonts w:ascii="Century Gothic" w:hAnsi="Century Gothic" w:cs="Tahoma"/>
                <w:bCs/>
                <w:color w:val="000000"/>
              </w:rPr>
              <w:t xml:space="preserve"> will be a</w:t>
            </w:r>
            <w:r>
              <w:rPr>
                <w:rFonts w:ascii="Century Gothic" w:hAnsi="Century Gothic" w:cs="Tahoma"/>
                <w:bCs/>
                <w:color w:val="000000"/>
              </w:rPr>
              <w:t xml:space="preserve"> heavily focused on the study of</w:t>
            </w:r>
            <w:r w:rsidRPr="00192CBF">
              <w:rPr>
                <w:rFonts w:ascii="Century Gothic" w:hAnsi="Century Gothic" w:cs="Tahoma"/>
                <w:bCs/>
                <w:color w:val="000000"/>
              </w:rPr>
              <w:t xml:space="preserve"> </w:t>
            </w:r>
            <w:r>
              <w:rPr>
                <w:rFonts w:ascii="Century Gothic" w:hAnsi="Century Gothic" w:cs="Tahoma"/>
                <w:bCs/>
                <w:color w:val="000000"/>
              </w:rPr>
              <w:t>l</w:t>
            </w:r>
            <w:r w:rsidRPr="00192CBF">
              <w:rPr>
                <w:rFonts w:ascii="Century Gothic" w:hAnsi="Century Gothic" w:cs="Tahoma"/>
                <w:bCs/>
                <w:color w:val="000000"/>
              </w:rPr>
              <w:t xml:space="preserve">iterature with opportunities interspersed for </w:t>
            </w:r>
            <w:r>
              <w:rPr>
                <w:rFonts w:ascii="Century Gothic" w:hAnsi="Century Gothic" w:cs="Tahoma"/>
                <w:bCs/>
                <w:color w:val="000000"/>
              </w:rPr>
              <w:t>learners</w:t>
            </w:r>
            <w:r w:rsidRPr="00192CBF">
              <w:rPr>
                <w:rFonts w:ascii="Century Gothic" w:hAnsi="Century Gothic" w:cs="Tahoma"/>
                <w:bCs/>
                <w:color w:val="000000"/>
              </w:rPr>
              <w:t xml:space="preserve"> to develop the skills needed for the Language</w:t>
            </w:r>
            <w:r>
              <w:rPr>
                <w:rFonts w:ascii="Century Gothic" w:hAnsi="Century Gothic" w:cs="Tahoma"/>
                <w:bCs/>
                <w:color w:val="000000"/>
              </w:rPr>
              <w:t xml:space="preserve"> </w:t>
            </w:r>
            <w:r w:rsidRPr="00192CBF">
              <w:rPr>
                <w:rFonts w:ascii="Century Gothic" w:hAnsi="Century Gothic" w:cs="Tahoma"/>
                <w:bCs/>
                <w:color w:val="000000"/>
              </w:rPr>
              <w:t>qualification.</w:t>
            </w:r>
            <w:r>
              <w:rPr>
                <w:rFonts w:ascii="Century Gothic" w:hAnsi="Century Gothic" w:cs="Tahoma"/>
                <w:bCs/>
                <w:color w:val="000000"/>
              </w:rPr>
              <w:t xml:space="preserve"> As well as studying all of the longer literature texts, learners will explore the poems from the Conflict cluster throughout the year.</w:t>
            </w:r>
            <w:r w:rsidRPr="00192CBF">
              <w:rPr>
                <w:rFonts w:ascii="Century Gothic" w:hAnsi="Century Gothic" w:cs="Tahoma"/>
                <w:bCs/>
                <w:color w:val="000000"/>
              </w:rPr>
              <w:t xml:space="preserve"> </w:t>
            </w:r>
            <w:r>
              <w:rPr>
                <w:rFonts w:ascii="Century Gothic" w:hAnsi="Century Gothic" w:cs="Tahoma"/>
                <w:bCs/>
                <w:color w:val="000000"/>
              </w:rPr>
              <w:t>Learner</w:t>
            </w:r>
            <w:r w:rsidRPr="00192CBF">
              <w:rPr>
                <w:rFonts w:ascii="Century Gothic" w:hAnsi="Century Gothic" w:cs="Tahoma"/>
                <w:bCs/>
                <w:color w:val="000000"/>
              </w:rPr>
              <w:t xml:space="preserve">s will have an opportunity to complete their Spoken Language unit for their English Language qualification </w:t>
            </w:r>
            <w:r>
              <w:rPr>
                <w:rFonts w:ascii="Century Gothic" w:hAnsi="Century Gothic" w:cs="Tahoma"/>
                <w:bCs/>
                <w:color w:val="000000"/>
              </w:rPr>
              <w:t>towards the end of Year 10.</w:t>
            </w:r>
            <w:r w:rsidRPr="00192CBF">
              <w:rPr>
                <w:rFonts w:ascii="Century Gothic" w:hAnsi="Century Gothic" w:cs="Tahoma"/>
                <w:bCs/>
                <w:color w:val="000000"/>
              </w:rPr>
              <w:t xml:space="preserve"> By covering all the Literature topics in this year, along with vital revision materials, students will be well prepared to embark upon the revision year that will follow as they go into Year 11.</w:t>
            </w:r>
          </w:p>
        </w:tc>
      </w:tr>
      <w:tr w:rsidR="00D8192C" w:rsidRPr="007151BA" w:rsidTr="00D8192C">
        <w:trPr>
          <w:trHeight w:val="531"/>
        </w:trPr>
        <w:tc>
          <w:tcPr>
            <w:tcW w:w="1980" w:type="dxa"/>
          </w:tcPr>
          <w:p w:rsidR="00D8192C" w:rsidRPr="007151BA" w:rsidRDefault="00D8192C" w:rsidP="00893BFD">
            <w:pPr>
              <w:spacing w:after="0" w:line="240" w:lineRule="auto"/>
              <w:rPr>
                <w:rFonts w:ascii="Century Gothic" w:hAnsi="Century Gothic" w:cs="Tahoma"/>
                <w:b/>
                <w:bCs/>
                <w:color w:val="000000"/>
              </w:rPr>
            </w:pPr>
            <w:r>
              <w:rPr>
                <w:rFonts w:ascii="Century Gothic" w:hAnsi="Century Gothic" w:cs="Tahoma"/>
                <w:b/>
                <w:bCs/>
                <w:color w:val="000000"/>
              </w:rPr>
              <w:t>Unit</w:t>
            </w:r>
          </w:p>
        </w:tc>
        <w:tc>
          <w:tcPr>
            <w:tcW w:w="2977" w:type="dxa"/>
          </w:tcPr>
          <w:p w:rsidR="00D8192C" w:rsidRPr="00D8192C" w:rsidRDefault="00D8192C" w:rsidP="00D8192C">
            <w:pPr>
              <w:spacing w:after="0" w:line="240" w:lineRule="auto"/>
              <w:jc w:val="center"/>
              <w:rPr>
                <w:rFonts w:ascii="Century Gothic" w:hAnsi="Century Gothic" w:cs="Tahoma"/>
                <w:b/>
                <w:bCs/>
                <w:color w:val="000000"/>
                <w:u w:val="single"/>
              </w:rPr>
            </w:pPr>
            <w:r w:rsidRPr="00D8192C">
              <w:rPr>
                <w:rFonts w:ascii="Century Gothic" w:hAnsi="Century Gothic" w:cs="Tahoma"/>
                <w:b/>
                <w:bCs/>
                <w:color w:val="000000"/>
                <w:u w:val="single"/>
              </w:rPr>
              <w:t>Unit One:</w:t>
            </w:r>
          </w:p>
          <w:p w:rsidR="00D8192C" w:rsidRPr="00D8192C" w:rsidRDefault="00D8192C" w:rsidP="00D8192C">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War </w:t>
            </w:r>
            <w:r w:rsidRPr="00D8192C">
              <w:rPr>
                <w:rFonts w:ascii="Century Gothic" w:hAnsi="Century Gothic" w:cs="Tahoma"/>
                <w:b/>
                <w:bCs/>
                <w:color w:val="000000"/>
              </w:rPr>
              <w:t>Poetry</w:t>
            </w:r>
          </w:p>
        </w:tc>
        <w:tc>
          <w:tcPr>
            <w:tcW w:w="3402" w:type="dxa"/>
          </w:tcPr>
          <w:p w:rsidR="00D8192C" w:rsidRDefault="00D8192C" w:rsidP="00D8192C">
            <w:pPr>
              <w:spacing w:after="0" w:line="240" w:lineRule="auto"/>
              <w:jc w:val="center"/>
              <w:rPr>
                <w:rFonts w:ascii="Century Gothic" w:hAnsi="Century Gothic" w:cs="Tahoma"/>
                <w:b/>
                <w:bCs/>
                <w:color w:val="000000"/>
                <w:u w:val="single"/>
              </w:rPr>
            </w:pPr>
            <w:r w:rsidRPr="00D8192C">
              <w:rPr>
                <w:rFonts w:ascii="Century Gothic" w:hAnsi="Century Gothic" w:cs="Tahoma"/>
                <w:b/>
                <w:bCs/>
                <w:color w:val="000000"/>
                <w:u w:val="single"/>
              </w:rPr>
              <w:t xml:space="preserve">Unit Two: </w:t>
            </w:r>
          </w:p>
          <w:p w:rsidR="00D8192C" w:rsidRPr="00D8192C" w:rsidRDefault="003D5BD2" w:rsidP="00D8192C">
            <w:pPr>
              <w:spacing w:after="0" w:line="240" w:lineRule="auto"/>
              <w:jc w:val="center"/>
              <w:rPr>
                <w:rFonts w:ascii="Century Gothic" w:hAnsi="Century Gothic" w:cs="Tahoma"/>
                <w:b/>
                <w:bCs/>
                <w:color w:val="000000"/>
              </w:rPr>
            </w:pPr>
            <w:r w:rsidRPr="00D8192C">
              <w:rPr>
                <w:rFonts w:ascii="Century Gothic" w:hAnsi="Century Gothic" w:cs="Tahoma"/>
                <w:b/>
                <w:bCs/>
                <w:color w:val="000000"/>
              </w:rPr>
              <w:t>An Inspector Calls</w:t>
            </w:r>
          </w:p>
        </w:tc>
        <w:tc>
          <w:tcPr>
            <w:tcW w:w="3685" w:type="dxa"/>
          </w:tcPr>
          <w:p w:rsidR="00D8192C" w:rsidRPr="00D8192C" w:rsidRDefault="00D8192C" w:rsidP="00D8192C">
            <w:pPr>
              <w:spacing w:after="0" w:line="240" w:lineRule="auto"/>
              <w:jc w:val="center"/>
              <w:rPr>
                <w:rFonts w:ascii="Century Gothic" w:hAnsi="Century Gothic" w:cs="Tahoma"/>
                <w:b/>
                <w:bCs/>
                <w:color w:val="000000"/>
                <w:u w:val="single"/>
              </w:rPr>
            </w:pPr>
            <w:r w:rsidRPr="00D8192C">
              <w:rPr>
                <w:rFonts w:ascii="Century Gothic" w:hAnsi="Century Gothic" w:cs="Tahoma"/>
                <w:b/>
                <w:bCs/>
                <w:color w:val="000000"/>
                <w:u w:val="single"/>
              </w:rPr>
              <w:t xml:space="preserve">Unit Three: </w:t>
            </w:r>
          </w:p>
          <w:p w:rsidR="00D8192C" w:rsidRPr="00D8192C" w:rsidRDefault="003D5BD2" w:rsidP="00D8192C">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A Christmas Carol </w:t>
            </w:r>
          </w:p>
        </w:tc>
        <w:tc>
          <w:tcPr>
            <w:tcW w:w="3089" w:type="dxa"/>
          </w:tcPr>
          <w:p w:rsidR="00D8192C" w:rsidRPr="00D8192C" w:rsidRDefault="00D8192C" w:rsidP="00D8192C">
            <w:pPr>
              <w:spacing w:after="0" w:line="240" w:lineRule="auto"/>
              <w:jc w:val="center"/>
              <w:rPr>
                <w:rFonts w:ascii="Century Gothic" w:hAnsi="Century Gothic" w:cs="Tahoma"/>
                <w:b/>
                <w:bCs/>
                <w:color w:val="000000"/>
                <w:u w:val="single"/>
              </w:rPr>
            </w:pPr>
            <w:r w:rsidRPr="00D8192C">
              <w:rPr>
                <w:rFonts w:ascii="Century Gothic" w:hAnsi="Century Gothic" w:cs="Tahoma"/>
                <w:b/>
                <w:bCs/>
                <w:color w:val="000000"/>
                <w:u w:val="single"/>
              </w:rPr>
              <w:t>Unit Four:</w:t>
            </w:r>
          </w:p>
          <w:p w:rsidR="00D8192C" w:rsidRPr="00D8192C" w:rsidRDefault="006305FC" w:rsidP="00D8192C">
            <w:pPr>
              <w:spacing w:after="0" w:line="240" w:lineRule="auto"/>
              <w:jc w:val="center"/>
              <w:rPr>
                <w:rFonts w:ascii="Century Gothic" w:hAnsi="Century Gothic" w:cs="Tahoma"/>
                <w:b/>
                <w:bCs/>
                <w:color w:val="000000"/>
              </w:rPr>
            </w:pPr>
            <w:r>
              <w:rPr>
                <w:rFonts w:ascii="Century Gothic" w:hAnsi="Century Gothic" w:cs="Tahoma"/>
                <w:b/>
                <w:bCs/>
                <w:color w:val="000000"/>
              </w:rPr>
              <w:t xml:space="preserve">Language Paper One </w:t>
            </w:r>
          </w:p>
        </w:tc>
      </w:tr>
      <w:tr w:rsidR="00883E00" w:rsidRPr="007151BA" w:rsidTr="00D8192C">
        <w:trPr>
          <w:trHeight w:val="3085"/>
        </w:trPr>
        <w:tc>
          <w:tcPr>
            <w:tcW w:w="1980" w:type="dxa"/>
          </w:tcPr>
          <w:p w:rsidR="00883E00" w:rsidRPr="007151BA" w:rsidRDefault="00883E00" w:rsidP="00883E00">
            <w:pPr>
              <w:spacing w:after="0" w:line="240" w:lineRule="auto"/>
              <w:rPr>
                <w:rFonts w:ascii="Century Gothic" w:hAnsi="Century Gothic" w:cs="Tahoma"/>
                <w:b/>
                <w:bCs/>
                <w:color w:val="000000"/>
              </w:rPr>
            </w:pPr>
            <w:r w:rsidRPr="007151BA">
              <w:rPr>
                <w:rFonts w:ascii="Century Gothic" w:hAnsi="Century Gothic" w:cs="Tahoma"/>
                <w:b/>
                <w:bCs/>
                <w:color w:val="000000"/>
              </w:rPr>
              <w:t>Knowledge</w:t>
            </w:r>
          </w:p>
        </w:tc>
        <w:tc>
          <w:tcPr>
            <w:tcW w:w="2977" w:type="dxa"/>
          </w:tcPr>
          <w:p w:rsidR="00883E00" w:rsidRPr="00D8192C" w:rsidRDefault="00883E00" w:rsidP="00883E00">
            <w:pPr>
              <w:spacing w:after="0" w:line="240" w:lineRule="auto"/>
              <w:rPr>
                <w:rFonts w:ascii="Century Gothic" w:hAnsi="Century Gothic" w:cs="Tahoma"/>
                <w:bCs/>
                <w:color w:val="000000"/>
              </w:rPr>
            </w:pPr>
            <w:r w:rsidRPr="007151BA">
              <w:rPr>
                <w:rFonts w:ascii="Century Gothic" w:hAnsi="Century Gothic" w:cs="Tahoma"/>
                <w:bCs/>
                <w:color w:val="000000"/>
              </w:rPr>
              <w:t>Key learning topics will include:</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Plot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Context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Authorial Intent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Themes</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Symbols &amp; Motifs</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Language and Structural techniques</w:t>
            </w:r>
          </w:p>
          <w:p w:rsidR="00883E00" w:rsidRPr="007151BA"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Poetic Techniques</w:t>
            </w:r>
          </w:p>
          <w:p w:rsidR="00883E00" w:rsidRPr="007151BA" w:rsidRDefault="00883E00" w:rsidP="00883E00">
            <w:pPr>
              <w:spacing w:after="0" w:line="240" w:lineRule="auto"/>
              <w:rPr>
                <w:rFonts w:ascii="Century Gothic" w:hAnsi="Century Gothic" w:cs="Tahoma"/>
                <w:bCs/>
                <w:color w:val="000000"/>
              </w:rPr>
            </w:pPr>
          </w:p>
        </w:tc>
        <w:tc>
          <w:tcPr>
            <w:tcW w:w="3402" w:type="dxa"/>
          </w:tcPr>
          <w:p w:rsidR="00883E00" w:rsidRPr="007151BA" w:rsidRDefault="00883E00" w:rsidP="00883E00">
            <w:pPr>
              <w:spacing w:after="0" w:line="240" w:lineRule="auto"/>
              <w:rPr>
                <w:rFonts w:ascii="Century Gothic" w:hAnsi="Century Gothic" w:cs="Tahoma"/>
                <w:bCs/>
                <w:color w:val="000000"/>
              </w:rPr>
            </w:pPr>
            <w:r w:rsidRPr="007151BA">
              <w:rPr>
                <w:rFonts w:ascii="Century Gothic" w:hAnsi="Century Gothic" w:cs="Tahoma"/>
                <w:bCs/>
                <w:color w:val="000000"/>
              </w:rPr>
              <w:t>Key learning topics will include:</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Plot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Characterisation &amp; Setting</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Context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Authorial Intent</w:t>
            </w:r>
          </w:p>
          <w:p w:rsidR="00883E00"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Themes</w:t>
            </w:r>
          </w:p>
          <w:p w:rsidR="00883E00" w:rsidRPr="007151BA" w:rsidRDefault="00883E00" w:rsidP="00883E00">
            <w:pPr>
              <w:pStyle w:val="ListParagraph"/>
              <w:numPr>
                <w:ilvl w:val="0"/>
                <w:numId w:val="22"/>
              </w:numPr>
              <w:spacing w:after="0" w:line="240" w:lineRule="auto"/>
              <w:rPr>
                <w:rFonts w:ascii="Century Gothic" w:hAnsi="Century Gothic" w:cs="Tahoma"/>
                <w:bCs/>
                <w:color w:val="000000"/>
              </w:rPr>
            </w:pPr>
            <w:r>
              <w:rPr>
                <w:rFonts w:ascii="Century Gothic" w:hAnsi="Century Gothic" w:cs="Tahoma"/>
                <w:bCs/>
                <w:color w:val="000000"/>
              </w:rPr>
              <w:t>Symbols &amp; Motifs</w:t>
            </w:r>
          </w:p>
          <w:p w:rsidR="00883E00" w:rsidRPr="00CE5522" w:rsidRDefault="00883E00" w:rsidP="00883E00">
            <w:pPr>
              <w:pStyle w:val="ListParagraph"/>
              <w:ind w:left="780"/>
              <w:rPr>
                <w:rFonts w:ascii="Century Gothic" w:hAnsi="Century Gothic" w:cs="Arial"/>
              </w:rPr>
            </w:pPr>
          </w:p>
        </w:tc>
        <w:tc>
          <w:tcPr>
            <w:tcW w:w="3685" w:type="dxa"/>
          </w:tcPr>
          <w:p w:rsidR="00883E00" w:rsidRPr="007151BA" w:rsidRDefault="00883E00" w:rsidP="00883E00">
            <w:pPr>
              <w:spacing w:after="0" w:line="240" w:lineRule="auto"/>
              <w:rPr>
                <w:rFonts w:ascii="Century Gothic" w:hAnsi="Century Gothic" w:cs="Tahoma"/>
                <w:bCs/>
                <w:color w:val="000000"/>
              </w:rPr>
            </w:pPr>
            <w:r w:rsidRPr="007151BA">
              <w:rPr>
                <w:rFonts w:ascii="Century Gothic" w:hAnsi="Century Gothic" w:cs="Tahoma"/>
                <w:bCs/>
                <w:color w:val="000000"/>
              </w:rPr>
              <w:t>Key learning topics will include:</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Plot</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Characterisation &amp; Setting</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Authorial Intent</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Themes</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Symbols &amp; Motifs</w:t>
            </w:r>
          </w:p>
          <w:p w:rsidR="00883E00"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Recap on Perspective, Tone and Style.</w:t>
            </w:r>
          </w:p>
          <w:p w:rsidR="00883E00" w:rsidRPr="007151BA" w:rsidRDefault="00883E00" w:rsidP="00883E00">
            <w:pPr>
              <w:pStyle w:val="ListParagraph"/>
              <w:numPr>
                <w:ilvl w:val="0"/>
                <w:numId w:val="29"/>
              </w:numPr>
              <w:spacing w:after="0" w:line="240" w:lineRule="auto"/>
              <w:rPr>
                <w:rFonts w:ascii="Century Gothic" w:hAnsi="Century Gothic" w:cs="Tahoma"/>
                <w:bCs/>
                <w:color w:val="000000"/>
              </w:rPr>
            </w:pPr>
            <w:r>
              <w:rPr>
                <w:rFonts w:ascii="Century Gothic" w:hAnsi="Century Gothic" w:cs="Tahoma"/>
                <w:bCs/>
                <w:color w:val="000000"/>
              </w:rPr>
              <w:t>How to compare</w:t>
            </w:r>
          </w:p>
        </w:tc>
        <w:tc>
          <w:tcPr>
            <w:tcW w:w="3089" w:type="dxa"/>
          </w:tcPr>
          <w:p w:rsidR="00883E00" w:rsidRPr="00D8192C" w:rsidRDefault="00883E00" w:rsidP="00883E00">
            <w:pPr>
              <w:spacing w:after="0" w:line="240" w:lineRule="auto"/>
              <w:rPr>
                <w:rFonts w:ascii="Century Gothic" w:hAnsi="Century Gothic" w:cs="Tahoma"/>
                <w:bCs/>
                <w:color w:val="000000"/>
              </w:rPr>
            </w:pPr>
            <w:r w:rsidRPr="007151BA">
              <w:rPr>
                <w:rFonts w:ascii="Century Gothic" w:hAnsi="Century Gothic" w:cs="Tahoma"/>
                <w:bCs/>
                <w:color w:val="000000"/>
              </w:rPr>
              <w:t>Key learning topics will include:</w:t>
            </w:r>
          </w:p>
          <w:p w:rsidR="00883E00" w:rsidRPr="006305FC" w:rsidRDefault="006305FC" w:rsidP="006305FC">
            <w:pPr>
              <w:pStyle w:val="ListParagraph"/>
              <w:numPr>
                <w:ilvl w:val="0"/>
                <w:numId w:val="22"/>
              </w:numPr>
              <w:spacing w:after="0" w:line="240" w:lineRule="auto"/>
              <w:rPr>
                <w:rFonts w:ascii="Century Gothic" w:hAnsi="Century Gothic" w:cs="Arial"/>
                <w:b/>
                <w:u w:val="single"/>
              </w:rPr>
            </w:pPr>
            <w:r>
              <w:rPr>
                <w:rFonts w:ascii="Century Gothic" w:hAnsi="Century Gothic" w:cs="Tahoma"/>
                <w:bCs/>
                <w:color w:val="000000"/>
              </w:rPr>
              <w:t>Evaluation Skills</w:t>
            </w:r>
          </w:p>
          <w:p w:rsidR="006305FC" w:rsidRPr="006305FC" w:rsidRDefault="006305FC" w:rsidP="006305FC">
            <w:pPr>
              <w:pStyle w:val="ListParagraph"/>
              <w:numPr>
                <w:ilvl w:val="0"/>
                <w:numId w:val="22"/>
              </w:numPr>
              <w:spacing w:after="0" w:line="240" w:lineRule="auto"/>
              <w:rPr>
                <w:rFonts w:ascii="Century Gothic" w:hAnsi="Century Gothic" w:cs="Arial"/>
              </w:rPr>
            </w:pPr>
            <w:r w:rsidRPr="006305FC">
              <w:rPr>
                <w:rFonts w:ascii="Century Gothic" w:hAnsi="Century Gothic" w:cs="Arial"/>
              </w:rPr>
              <w:t>Creative Writing structure and craft.</w:t>
            </w:r>
          </w:p>
        </w:tc>
      </w:tr>
      <w:tr w:rsidR="00883E00" w:rsidRPr="007151BA" w:rsidTr="00D8192C">
        <w:trPr>
          <w:trHeight w:val="3189"/>
        </w:trPr>
        <w:tc>
          <w:tcPr>
            <w:tcW w:w="1980" w:type="dxa"/>
          </w:tcPr>
          <w:p w:rsidR="00883E00" w:rsidRPr="007151BA" w:rsidRDefault="00883E00" w:rsidP="00883E00">
            <w:pPr>
              <w:spacing w:after="0" w:line="240" w:lineRule="auto"/>
              <w:rPr>
                <w:rFonts w:ascii="Century Gothic" w:hAnsi="Century Gothic" w:cs="Tahoma"/>
                <w:b/>
                <w:bCs/>
                <w:color w:val="000000"/>
              </w:rPr>
            </w:pPr>
            <w:r>
              <w:rPr>
                <w:rFonts w:ascii="Century Gothic" w:hAnsi="Century Gothic" w:cs="Tahoma"/>
                <w:b/>
                <w:bCs/>
                <w:color w:val="000000"/>
              </w:rPr>
              <w:t>Skills</w:t>
            </w:r>
          </w:p>
        </w:tc>
        <w:tc>
          <w:tcPr>
            <w:tcW w:w="2977" w:type="dxa"/>
          </w:tcPr>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Show an awa</w:t>
            </w:r>
            <w:r>
              <w:rPr>
                <w:rFonts w:ascii="Century Gothic" w:hAnsi="Century Gothic" w:cs="Tahoma"/>
                <w:bCs/>
                <w:color w:val="000000"/>
              </w:rPr>
              <w:t xml:space="preserve">reness of the writer’s methods </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 xml:space="preserve">Include subject terminology confidently when </w:t>
            </w:r>
            <w:r>
              <w:rPr>
                <w:rFonts w:ascii="Century Gothic" w:hAnsi="Century Gothic" w:cs="Tahoma"/>
                <w:bCs/>
                <w:color w:val="000000"/>
              </w:rPr>
              <w:t>analysing and writing responses</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Plan essays successfully to ensure that th</w:t>
            </w:r>
            <w:r>
              <w:rPr>
                <w:rFonts w:ascii="Century Gothic" w:hAnsi="Century Gothic" w:cs="Tahoma"/>
                <w:bCs/>
                <w:color w:val="000000"/>
              </w:rPr>
              <w:t xml:space="preserve">ey </w:t>
            </w:r>
            <w:r>
              <w:rPr>
                <w:rFonts w:ascii="Century Gothic" w:hAnsi="Century Gothic" w:cs="Tahoma"/>
                <w:bCs/>
                <w:color w:val="000000"/>
              </w:rPr>
              <w:lastRenderedPageBreak/>
              <w:t>are thoughtful and developed</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Structure a co</w:t>
            </w:r>
            <w:r>
              <w:rPr>
                <w:rFonts w:ascii="Century Gothic" w:hAnsi="Century Gothic" w:cs="Tahoma"/>
                <w:bCs/>
                <w:color w:val="000000"/>
              </w:rPr>
              <w:t xml:space="preserve">herent and sophisticated essay </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Analyse the use of langua</w:t>
            </w:r>
            <w:r>
              <w:rPr>
                <w:rFonts w:ascii="Century Gothic" w:hAnsi="Century Gothic" w:cs="Tahoma"/>
                <w:bCs/>
                <w:color w:val="000000"/>
              </w:rPr>
              <w:t>ge and its impact on the reader</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Understand the context of a text and how that links w</w:t>
            </w:r>
            <w:r>
              <w:rPr>
                <w:rFonts w:ascii="Century Gothic" w:hAnsi="Century Gothic" w:cs="Tahoma"/>
                <w:bCs/>
                <w:color w:val="000000"/>
              </w:rPr>
              <w:t xml:space="preserve">ith the ideas within that text </w:t>
            </w:r>
          </w:p>
          <w:p w:rsidR="00883E00" w:rsidRPr="007151BA"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 xml:space="preserve">Embed a range of quotes and references to support their ideas </w:t>
            </w:r>
          </w:p>
          <w:p w:rsidR="00883E00" w:rsidRPr="007151BA" w:rsidRDefault="00883E00" w:rsidP="00883E00">
            <w:pPr>
              <w:spacing w:after="0" w:line="240" w:lineRule="auto"/>
              <w:rPr>
                <w:rFonts w:ascii="Century Gothic" w:hAnsi="Century Gothic" w:cs="Tahoma"/>
                <w:bCs/>
                <w:color w:val="000000"/>
              </w:rPr>
            </w:pPr>
          </w:p>
        </w:tc>
        <w:tc>
          <w:tcPr>
            <w:tcW w:w="3402" w:type="dxa"/>
          </w:tcPr>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lastRenderedPageBreak/>
              <w:t xml:space="preserve">Show an awareness of the writer’s methods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Include subject terminology confidently when analysing and writing responses</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Plan essays successfully to ensure that they are thoughtful and developed</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lastRenderedPageBreak/>
              <w:t xml:space="preserve">Structure a coherent and sophisticated essay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Analyse the use of language and its impact on the reader</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 xml:space="preserve">Understand the context of a text and how that links with the ideas within that text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 xml:space="preserve">Embed a range of quotes and references to support their ideas </w:t>
            </w:r>
          </w:p>
          <w:p w:rsidR="00883E00" w:rsidRPr="007151BA" w:rsidRDefault="00883E00" w:rsidP="00883E00">
            <w:pPr>
              <w:spacing w:after="0" w:line="240" w:lineRule="auto"/>
              <w:rPr>
                <w:rFonts w:ascii="Century Gothic" w:hAnsi="Century Gothic" w:cs="Tahoma"/>
                <w:bCs/>
                <w:color w:val="000000"/>
              </w:rPr>
            </w:pPr>
          </w:p>
        </w:tc>
        <w:tc>
          <w:tcPr>
            <w:tcW w:w="3685" w:type="dxa"/>
          </w:tcPr>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lastRenderedPageBreak/>
              <w:t xml:space="preserve">Show an awareness of the writer’s methods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Include subject terminology confidently when analysing and writing responses</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Plan essays successfully to ensure that they are thoughtful and developed</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 xml:space="preserve">Structure a coherent and sophisticated essay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lastRenderedPageBreak/>
              <w:t>Analyse the use of language and its impact on the reader</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 xml:space="preserve">Understand the context of a text and how that links with the ideas within that text </w:t>
            </w:r>
          </w:p>
          <w:p w:rsidR="00883E00" w:rsidRPr="00CE5522" w:rsidRDefault="00883E00" w:rsidP="00883E00">
            <w:pPr>
              <w:numPr>
                <w:ilvl w:val="0"/>
                <w:numId w:val="24"/>
              </w:numPr>
              <w:spacing w:after="0" w:line="240" w:lineRule="auto"/>
              <w:contextualSpacing/>
              <w:rPr>
                <w:rFonts w:ascii="Century Gothic" w:hAnsi="Century Gothic" w:cs="Tahoma"/>
                <w:bCs/>
                <w:color w:val="000000"/>
              </w:rPr>
            </w:pPr>
            <w:r w:rsidRPr="00CE5522">
              <w:rPr>
                <w:rFonts w:ascii="Century Gothic" w:hAnsi="Century Gothic" w:cs="Tahoma"/>
                <w:bCs/>
                <w:color w:val="000000"/>
              </w:rPr>
              <w:t xml:space="preserve">Embed a range of quotes and references to support their ideas </w:t>
            </w:r>
          </w:p>
          <w:p w:rsidR="00883E00" w:rsidRPr="007151BA" w:rsidRDefault="00883E00" w:rsidP="00883E00">
            <w:pPr>
              <w:spacing w:after="0" w:line="240" w:lineRule="auto"/>
              <w:rPr>
                <w:rFonts w:ascii="Century Gothic" w:hAnsi="Century Gothic" w:cs="Tahoma"/>
                <w:bCs/>
                <w:color w:val="000000"/>
              </w:rPr>
            </w:pPr>
          </w:p>
        </w:tc>
        <w:tc>
          <w:tcPr>
            <w:tcW w:w="3089" w:type="dxa"/>
          </w:tcPr>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lastRenderedPageBreak/>
              <w:t>Show an awa</w:t>
            </w:r>
            <w:r>
              <w:rPr>
                <w:rFonts w:ascii="Century Gothic" w:hAnsi="Century Gothic" w:cs="Tahoma"/>
                <w:bCs/>
                <w:color w:val="000000"/>
              </w:rPr>
              <w:t xml:space="preserve">reness of the writer’s methods </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 xml:space="preserve">Include subject terminology confidently when </w:t>
            </w:r>
            <w:r>
              <w:rPr>
                <w:rFonts w:ascii="Century Gothic" w:hAnsi="Century Gothic" w:cs="Tahoma"/>
                <w:bCs/>
                <w:color w:val="000000"/>
              </w:rPr>
              <w:t>analysing and writing responses</w:t>
            </w:r>
          </w:p>
          <w:p w:rsidR="00883E00" w:rsidRDefault="00883E00" w:rsidP="00883E00">
            <w:pPr>
              <w:pStyle w:val="ListParagraph"/>
              <w:numPr>
                <w:ilvl w:val="0"/>
                <w:numId w:val="24"/>
              </w:numPr>
              <w:spacing w:after="0" w:line="240" w:lineRule="auto"/>
              <w:rPr>
                <w:rFonts w:ascii="Century Gothic" w:hAnsi="Century Gothic" w:cs="Tahoma"/>
                <w:bCs/>
                <w:color w:val="000000"/>
              </w:rPr>
            </w:pPr>
            <w:r w:rsidRPr="00192CBF">
              <w:rPr>
                <w:rFonts w:ascii="Century Gothic" w:hAnsi="Century Gothic" w:cs="Tahoma"/>
                <w:bCs/>
                <w:color w:val="000000"/>
              </w:rPr>
              <w:t>Analyse the use of langua</w:t>
            </w:r>
            <w:r>
              <w:rPr>
                <w:rFonts w:ascii="Century Gothic" w:hAnsi="Century Gothic" w:cs="Tahoma"/>
                <w:bCs/>
                <w:color w:val="000000"/>
              </w:rPr>
              <w:t>ge and its impact on the reader</w:t>
            </w:r>
          </w:p>
          <w:p w:rsidR="00883E00" w:rsidRPr="00CE5522" w:rsidRDefault="006305FC" w:rsidP="006305FC">
            <w:pPr>
              <w:pStyle w:val="ListParagraph"/>
              <w:numPr>
                <w:ilvl w:val="0"/>
                <w:numId w:val="24"/>
              </w:numPr>
              <w:spacing w:after="0" w:line="240" w:lineRule="auto"/>
              <w:rPr>
                <w:rFonts w:ascii="Century Gothic" w:hAnsi="Century Gothic" w:cs="Tahoma"/>
                <w:bCs/>
                <w:color w:val="000000"/>
              </w:rPr>
            </w:pPr>
            <w:r>
              <w:rPr>
                <w:rFonts w:ascii="Century Gothic" w:hAnsi="Century Gothic" w:cs="Tahoma"/>
                <w:bCs/>
                <w:color w:val="000000"/>
              </w:rPr>
              <w:lastRenderedPageBreak/>
              <w:t>Structure creative writing for a particular effect thinkin</w:t>
            </w:r>
            <w:bookmarkStart w:id="0" w:name="_GoBack"/>
            <w:bookmarkEnd w:id="0"/>
            <w:r>
              <w:rPr>
                <w:rFonts w:ascii="Century Gothic" w:hAnsi="Century Gothic" w:cs="Tahoma"/>
                <w:bCs/>
                <w:color w:val="000000"/>
              </w:rPr>
              <w:t>g about vocabulary and structure.</w:t>
            </w:r>
          </w:p>
        </w:tc>
      </w:tr>
      <w:tr w:rsidR="00883E00" w:rsidRPr="007151BA" w:rsidTr="00D8192C">
        <w:trPr>
          <w:trHeight w:val="5049"/>
        </w:trPr>
        <w:tc>
          <w:tcPr>
            <w:tcW w:w="1980" w:type="dxa"/>
          </w:tcPr>
          <w:p w:rsidR="00883E00" w:rsidRPr="007151BA" w:rsidRDefault="00883E00" w:rsidP="00883E00">
            <w:pPr>
              <w:spacing w:after="0" w:line="240" w:lineRule="auto"/>
              <w:rPr>
                <w:rFonts w:ascii="Century Gothic" w:hAnsi="Century Gothic" w:cs="Tahoma"/>
                <w:b/>
                <w:bCs/>
                <w:color w:val="000000"/>
              </w:rPr>
            </w:pPr>
            <w:r w:rsidRPr="007151BA">
              <w:rPr>
                <w:rFonts w:ascii="Century Gothic" w:hAnsi="Century Gothic" w:cs="Tahoma"/>
                <w:b/>
                <w:bCs/>
                <w:color w:val="000000"/>
              </w:rPr>
              <w:lastRenderedPageBreak/>
              <w:t>Assessments</w:t>
            </w:r>
          </w:p>
        </w:tc>
        <w:tc>
          <w:tcPr>
            <w:tcW w:w="2977" w:type="dxa"/>
          </w:tcPr>
          <w:p w:rsidR="00883E00" w:rsidRPr="007151BA" w:rsidRDefault="00883E00" w:rsidP="00883E00">
            <w:pPr>
              <w:pStyle w:val="ListParagraph"/>
              <w:numPr>
                <w:ilvl w:val="0"/>
                <w:numId w:val="25"/>
              </w:numPr>
              <w:spacing w:after="0" w:line="240" w:lineRule="auto"/>
              <w:rPr>
                <w:rFonts w:ascii="Century Gothic" w:hAnsi="Century Gothic" w:cs="Tahoma"/>
                <w:bCs/>
                <w:color w:val="000000"/>
              </w:rPr>
            </w:pPr>
            <w:r w:rsidRPr="007151BA">
              <w:rPr>
                <w:rFonts w:ascii="Century Gothic" w:hAnsi="Century Gothic" w:cs="Tahoma"/>
                <w:bCs/>
                <w:color w:val="000000"/>
              </w:rPr>
              <w:t>Continuous low stakes retrieval tasks to assess learner’s developing knowledge.</w:t>
            </w:r>
          </w:p>
          <w:p w:rsidR="00883E00" w:rsidRPr="00D8192C" w:rsidRDefault="00883E00" w:rsidP="00883E00">
            <w:pPr>
              <w:pStyle w:val="ListParagraph"/>
              <w:numPr>
                <w:ilvl w:val="0"/>
                <w:numId w:val="25"/>
              </w:numPr>
              <w:spacing w:after="0" w:line="240" w:lineRule="auto"/>
              <w:rPr>
                <w:rFonts w:ascii="Century Gothic" w:hAnsi="Century Gothic" w:cs="Tahoma"/>
                <w:b/>
                <w:bCs/>
                <w:i/>
                <w:color w:val="000000"/>
              </w:rPr>
            </w:pPr>
            <w:r w:rsidRPr="00D8192C">
              <w:rPr>
                <w:rFonts w:ascii="Century Gothic" w:hAnsi="Century Gothic" w:cs="Tahoma"/>
                <w:b/>
                <w:bCs/>
                <w:i/>
                <w:color w:val="000000"/>
              </w:rPr>
              <w:t>Compare how the pet presents the conflict of war in Exposure and one other poem.</w:t>
            </w:r>
          </w:p>
        </w:tc>
        <w:tc>
          <w:tcPr>
            <w:tcW w:w="3402" w:type="dxa"/>
          </w:tcPr>
          <w:p w:rsidR="00883E00" w:rsidRPr="007151BA" w:rsidRDefault="00883E00" w:rsidP="00883E00">
            <w:pPr>
              <w:pStyle w:val="ListParagraph"/>
              <w:spacing w:after="0" w:line="240" w:lineRule="auto"/>
              <w:rPr>
                <w:rFonts w:ascii="Century Gothic" w:hAnsi="Century Gothic" w:cs="Tahoma"/>
                <w:bCs/>
                <w:color w:val="000000"/>
              </w:rPr>
            </w:pPr>
          </w:p>
        </w:tc>
        <w:tc>
          <w:tcPr>
            <w:tcW w:w="3685" w:type="dxa"/>
          </w:tcPr>
          <w:p w:rsidR="00883E00" w:rsidRPr="007151BA" w:rsidRDefault="00883E00" w:rsidP="00883E00">
            <w:pPr>
              <w:pStyle w:val="ListParagraph"/>
              <w:numPr>
                <w:ilvl w:val="0"/>
                <w:numId w:val="25"/>
              </w:numPr>
              <w:spacing w:after="0" w:line="240" w:lineRule="auto"/>
              <w:rPr>
                <w:rFonts w:ascii="Century Gothic" w:hAnsi="Century Gothic" w:cs="Tahoma"/>
                <w:bCs/>
                <w:color w:val="000000"/>
              </w:rPr>
            </w:pPr>
            <w:r w:rsidRPr="007151BA">
              <w:rPr>
                <w:rFonts w:ascii="Century Gothic" w:hAnsi="Century Gothic" w:cs="Tahoma"/>
                <w:bCs/>
                <w:color w:val="000000"/>
              </w:rPr>
              <w:t>Continuous low stakes retrieval tasks to assess learner’s developing knowledge.</w:t>
            </w:r>
          </w:p>
          <w:p w:rsidR="00883E00" w:rsidRDefault="00883E00" w:rsidP="00883E00">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Cs/>
                <w:color w:val="000000"/>
              </w:rPr>
              <w:t>Learners will sit fortnightly extended writing tasks examining key themes/ ideas within the text.</w:t>
            </w:r>
          </w:p>
          <w:p w:rsidR="00883E00" w:rsidRPr="00D8192C" w:rsidRDefault="00883E00" w:rsidP="00883E00">
            <w:pPr>
              <w:spacing w:after="0" w:line="240" w:lineRule="auto"/>
              <w:rPr>
                <w:rFonts w:ascii="Century Gothic" w:hAnsi="Century Gothic" w:cs="Tahoma"/>
                <w:bCs/>
                <w:color w:val="000000"/>
              </w:rPr>
            </w:pPr>
            <w:r w:rsidRPr="00D8192C">
              <w:rPr>
                <w:rFonts w:ascii="Century Gothic" w:hAnsi="Century Gothic" w:cs="Tahoma"/>
                <w:bCs/>
                <w:color w:val="000000"/>
              </w:rPr>
              <w:t>The assessments will help teachers to:</w:t>
            </w:r>
          </w:p>
          <w:p w:rsidR="00883E00" w:rsidRDefault="00883E00" w:rsidP="00883E00">
            <w:pPr>
              <w:pStyle w:val="ListParagraph"/>
              <w:numPr>
                <w:ilvl w:val="0"/>
                <w:numId w:val="25"/>
              </w:numPr>
              <w:spacing w:after="0" w:line="240" w:lineRule="auto"/>
              <w:rPr>
                <w:rFonts w:ascii="Century Gothic" w:hAnsi="Century Gothic" w:cs="Tahoma"/>
                <w:bCs/>
                <w:color w:val="000000"/>
              </w:rPr>
            </w:pPr>
            <w:r w:rsidRPr="00331EF2">
              <w:rPr>
                <w:rFonts w:ascii="Century Gothic" w:hAnsi="Century Gothic" w:cs="Tahoma"/>
                <w:bCs/>
                <w:color w:val="000000"/>
              </w:rPr>
              <w:t>Consolidate the</w:t>
            </w:r>
            <w:r>
              <w:rPr>
                <w:rFonts w:ascii="Century Gothic" w:hAnsi="Century Gothic" w:cs="Tahoma"/>
                <w:bCs/>
                <w:color w:val="000000"/>
              </w:rPr>
              <w:t xml:space="preserve"> learners’ </w:t>
            </w:r>
            <w:r w:rsidRPr="00331EF2">
              <w:rPr>
                <w:rFonts w:ascii="Century Gothic" w:hAnsi="Century Gothic" w:cs="Tahoma"/>
                <w:bCs/>
                <w:color w:val="000000"/>
              </w:rPr>
              <w:t xml:space="preserve">awareness of characters and events </w:t>
            </w:r>
          </w:p>
          <w:p w:rsidR="00883E00" w:rsidRDefault="00883E00" w:rsidP="00883E00">
            <w:pPr>
              <w:pStyle w:val="ListParagraph"/>
              <w:numPr>
                <w:ilvl w:val="0"/>
                <w:numId w:val="25"/>
              </w:numPr>
              <w:spacing w:after="0" w:line="240" w:lineRule="auto"/>
              <w:rPr>
                <w:rFonts w:ascii="Century Gothic" w:hAnsi="Century Gothic" w:cs="Tahoma"/>
                <w:bCs/>
                <w:color w:val="000000"/>
              </w:rPr>
            </w:pPr>
            <w:r w:rsidRPr="00331EF2">
              <w:rPr>
                <w:rFonts w:ascii="Century Gothic" w:hAnsi="Century Gothic" w:cs="Tahoma"/>
                <w:bCs/>
                <w:color w:val="000000"/>
              </w:rPr>
              <w:t xml:space="preserve">Ensure that </w:t>
            </w:r>
            <w:r>
              <w:rPr>
                <w:rFonts w:ascii="Century Gothic" w:hAnsi="Century Gothic" w:cs="Tahoma"/>
                <w:bCs/>
                <w:color w:val="000000"/>
              </w:rPr>
              <w:t>learner</w:t>
            </w:r>
            <w:r w:rsidRPr="00331EF2">
              <w:rPr>
                <w:rFonts w:ascii="Century Gothic" w:hAnsi="Century Gothic" w:cs="Tahoma"/>
                <w:bCs/>
                <w:color w:val="000000"/>
              </w:rPr>
              <w:t>s are developing their level of analysis.</w:t>
            </w:r>
          </w:p>
          <w:p w:rsidR="00883E00" w:rsidRPr="007151BA" w:rsidRDefault="00883E00" w:rsidP="00883E00">
            <w:pPr>
              <w:pStyle w:val="ListParagraph"/>
              <w:numPr>
                <w:ilvl w:val="0"/>
                <w:numId w:val="25"/>
              </w:numPr>
              <w:spacing w:after="0" w:line="240" w:lineRule="auto"/>
              <w:rPr>
                <w:rFonts w:ascii="Century Gothic" w:hAnsi="Century Gothic" w:cs="Tahoma"/>
                <w:bCs/>
                <w:color w:val="000000"/>
              </w:rPr>
            </w:pPr>
            <w:r w:rsidRPr="00331EF2">
              <w:rPr>
                <w:rFonts w:ascii="Century Gothic" w:hAnsi="Century Gothic" w:cs="Tahoma"/>
                <w:bCs/>
                <w:color w:val="000000"/>
              </w:rPr>
              <w:t>Check for technical accuracy</w:t>
            </w:r>
          </w:p>
          <w:p w:rsidR="00883E00" w:rsidRPr="007151BA" w:rsidRDefault="00883E00" w:rsidP="00883E00">
            <w:pPr>
              <w:pStyle w:val="ListParagraph"/>
              <w:spacing w:after="0" w:line="240" w:lineRule="auto"/>
              <w:rPr>
                <w:rFonts w:ascii="Century Gothic" w:hAnsi="Century Gothic" w:cs="Tahoma"/>
                <w:bCs/>
                <w:color w:val="000000"/>
              </w:rPr>
            </w:pPr>
          </w:p>
        </w:tc>
        <w:tc>
          <w:tcPr>
            <w:tcW w:w="3089" w:type="dxa"/>
          </w:tcPr>
          <w:p w:rsidR="00883E00" w:rsidRPr="007151BA" w:rsidRDefault="00883E00" w:rsidP="00883E00">
            <w:pPr>
              <w:pStyle w:val="ListParagraph"/>
              <w:numPr>
                <w:ilvl w:val="0"/>
                <w:numId w:val="25"/>
              </w:numPr>
              <w:spacing w:after="0" w:line="240" w:lineRule="auto"/>
              <w:rPr>
                <w:rFonts w:ascii="Century Gothic" w:hAnsi="Century Gothic" w:cs="Tahoma"/>
                <w:bCs/>
                <w:color w:val="000000"/>
              </w:rPr>
            </w:pPr>
            <w:r w:rsidRPr="007151BA">
              <w:rPr>
                <w:rFonts w:ascii="Century Gothic" w:hAnsi="Century Gothic" w:cs="Tahoma"/>
                <w:bCs/>
                <w:color w:val="000000"/>
              </w:rPr>
              <w:t>Continuous low stakes retrieval tasks to assess learner’s developing knowledge.</w:t>
            </w:r>
          </w:p>
          <w:p w:rsidR="00883E00" w:rsidRPr="007151BA" w:rsidRDefault="00883E00" w:rsidP="00883E00">
            <w:pPr>
              <w:pStyle w:val="ListParagraph"/>
              <w:numPr>
                <w:ilvl w:val="0"/>
                <w:numId w:val="25"/>
              </w:numPr>
              <w:spacing w:after="0" w:line="240" w:lineRule="auto"/>
              <w:rPr>
                <w:rFonts w:ascii="Century Gothic" w:hAnsi="Century Gothic" w:cs="Tahoma"/>
                <w:bCs/>
                <w:color w:val="000000"/>
              </w:rPr>
            </w:pPr>
            <w:r>
              <w:rPr>
                <w:rFonts w:ascii="Century Gothic" w:hAnsi="Century Gothic" w:cs="Tahoma"/>
                <w:b/>
                <w:bCs/>
                <w:i/>
                <w:color w:val="000000"/>
              </w:rPr>
              <w:t xml:space="preserve">Mock exams will take place during this unit testing all knowledge so far. </w:t>
            </w:r>
          </w:p>
        </w:tc>
      </w:tr>
      <w:tr w:rsidR="00883E00" w:rsidRPr="007151BA" w:rsidTr="00D8192C">
        <w:trPr>
          <w:trHeight w:val="516"/>
        </w:trPr>
        <w:tc>
          <w:tcPr>
            <w:tcW w:w="1980" w:type="dxa"/>
          </w:tcPr>
          <w:p w:rsidR="00883E00" w:rsidRPr="007151BA" w:rsidRDefault="00883E00" w:rsidP="00883E00">
            <w:pPr>
              <w:spacing w:after="0" w:line="240" w:lineRule="auto"/>
              <w:rPr>
                <w:rFonts w:ascii="Century Gothic" w:hAnsi="Century Gothic" w:cs="Tahoma"/>
                <w:b/>
                <w:bCs/>
                <w:color w:val="000000"/>
              </w:rPr>
            </w:pPr>
            <w:r w:rsidRPr="007151BA">
              <w:rPr>
                <w:rFonts w:ascii="Century Gothic" w:hAnsi="Century Gothic" w:cs="Tahoma"/>
                <w:b/>
                <w:bCs/>
                <w:color w:val="000000"/>
              </w:rPr>
              <w:t>Enrichment</w:t>
            </w:r>
          </w:p>
          <w:p w:rsidR="00883E00" w:rsidRPr="007151BA" w:rsidRDefault="00883E00" w:rsidP="00883E00">
            <w:pPr>
              <w:spacing w:after="0" w:line="240" w:lineRule="auto"/>
              <w:rPr>
                <w:rFonts w:ascii="Century Gothic" w:hAnsi="Century Gothic" w:cs="Tahoma"/>
                <w:b/>
                <w:bCs/>
                <w:color w:val="000000"/>
              </w:rPr>
            </w:pPr>
          </w:p>
        </w:tc>
        <w:tc>
          <w:tcPr>
            <w:tcW w:w="2977" w:type="dxa"/>
          </w:tcPr>
          <w:p w:rsidR="00883E00" w:rsidRPr="009B0EE7" w:rsidRDefault="00883E00" w:rsidP="00883E00">
            <w:pPr>
              <w:spacing w:after="0" w:line="240" w:lineRule="auto"/>
              <w:rPr>
                <w:rFonts w:ascii="Century Gothic" w:hAnsi="Century Gothic" w:cs="Tahoma"/>
                <w:bCs/>
                <w:color w:val="000000"/>
              </w:rPr>
            </w:pPr>
          </w:p>
        </w:tc>
        <w:tc>
          <w:tcPr>
            <w:tcW w:w="3402" w:type="dxa"/>
          </w:tcPr>
          <w:p w:rsidR="00883E00" w:rsidRPr="009B0EE7" w:rsidRDefault="00883E00" w:rsidP="00883E00">
            <w:pPr>
              <w:spacing w:after="0" w:line="240" w:lineRule="auto"/>
              <w:rPr>
                <w:rFonts w:ascii="Century Gothic" w:hAnsi="Century Gothic" w:cs="Tahoma"/>
                <w:b/>
                <w:bCs/>
                <w:i/>
                <w:color w:val="000000"/>
              </w:rPr>
            </w:pPr>
            <w:r>
              <w:rPr>
                <w:rFonts w:ascii="Century Gothic" w:hAnsi="Century Gothic" w:cs="Tahoma"/>
                <w:b/>
                <w:bCs/>
                <w:i/>
                <w:color w:val="000000"/>
              </w:rPr>
              <w:t>Trip to see An Inspector Calls at the Lowry.</w:t>
            </w:r>
          </w:p>
        </w:tc>
        <w:tc>
          <w:tcPr>
            <w:tcW w:w="3685" w:type="dxa"/>
          </w:tcPr>
          <w:p w:rsidR="00883E00" w:rsidRPr="009B0EE7" w:rsidRDefault="00883E00" w:rsidP="00883E00">
            <w:pPr>
              <w:spacing w:after="0" w:line="240" w:lineRule="auto"/>
              <w:rPr>
                <w:rFonts w:ascii="Century Gothic" w:hAnsi="Century Gothic" w:cs="Tahoma"/>
                <w:b/>
                <w:bCs/>
                <w:i/>
                <w:color w:val="000000"/>
              </w:rPr>
            </w:pPr>
            <w:r w:rsidRPr="009B0EE7">
              <w:rPr>
                <w:rFonts w:ascii="Century Gothic" w:hAnsi="Century Gothic" w:cs="Tahoma"/>
                <w:b/>
                <w:bCs/>
                <w:i/>
                <w:color w:val="000000"/>
              </w:rPr>
              <w:t xml:space="preserve">Theatre or Cinema Trip to see A Christmas Carol. </w:t>
            </w:r>
          </w:p>
        </w:tc>
        <w:tc>
          <w:tcPr>
            <w:tcW w:w="3089" w:type="dxa"/>
          </w:tcPr>
          <w:p w:rsidR="00883E00" w:rsidRPr="009B0EE7" w:rsidRDefault="00883E00" w:rsidP="00883E00">
            <w:pPr>
              <w:spacing w:after="0" w:line="240" w:lineRule="auto"/>
              <w:rPr>
                <w:rFonts w:ascii="Century Gothic" w:hAnsi="Century Gothic" w:cs="Tahoma"/>
                <w:b/>
                <w:bCs/>
                <w:i/>
                <w:color w:val="000000"/>
              </w:rPr>
            </w:pPr>
            <w:r w:rsidRPr="009B0EE7">
              <w:rPr>
                <w:rFonts w:ascii="Century Gothic" w:hAnsi="Century Gothic" w:cs="Tahoma"/>
                <w:b/>
                <w:bCs/>
                <w:i/>
                <w:color w:val="000000"/>
              </w:rPr>
              <w:t>Trip to Ashton Sixth Form College for English Taster Sessions.</w:t>
            </w:r>
          </w:p>
        </w:tc>
      </w:tr>
    </w:tbl>
    <w:p w:rsidR="00BD6726" w:rsidRPr="007151BA" w:rsidRDefault="00BD6726" w:rsidP="00893BFD">
      <w:pPr>
        <w:spacing w:after="0" w:line="240" w:lineRule="auto"/>
        <w:rPr>
          <w:rFonts w:ascii="Century Gothic" w:hAnsi="Century Gothic" w:cs="Tahoma"/>
          <w:bCs/>
          <w:color w:val="000000"/>
        </w:rPr>
      </w:pPr>
    </w:p>
    <w:p w:rsidR="00BD6726" w:rsidRPr="007151BA" w:rsidRDefault="00BD6726" w:rsidP="00893BFD">
      <w:pPr>
        <w:spacing w:after="0" w:line="240" w:lineRule="auto"/>
        <w:rPr>
          <w:rFonts w:ascii="Century Gothic" w:hAnsi="Century Gothic" w:cs="Tahoma"/>
          <w:bCs/>
          <w:color w:val="000000"/>
        </w:rPr>
      </w:pPr>
    </w:p>
    <w:p w:rsidR="004A4B6D" w:rsidRPr="007151BA" w:rsidRDefault="004A4B6D" w:rsidP="00893BFD">
      <w:pPr>
        <w:spacing w:after="0" w:line="240" w:lineRule="auto"/>
        <w:rPr>
          <w:rFonts w:ascii="Century Gothic" w:hAnsi="Century Gothic" w:cs="Tahoma"/>
          <w:bCs/>
          <w:color w:val="000000"/>
        </w:rPr>
      </w:pPr>
    </w:p>
    <w:p w:rsidR="00F60840" w:rsidRPr="007151BA" w:rsidRDefault="00F60840" w:rsidP="00F60840">
      <w:pPr>
        <w:jc w:val="both"/>
      </w:pPr>
    </w:p>
    <w:p w:rsidR="00F60840" w:rsidRPr="007151BA" w:rsidRDefault="00F60840" w:rsidP="00F60840">
      <w:pPr>
        <w:rPr>
          <w:rFonts w:ascii="Century Gothic" w:hAnsi="Century Gothic" w:cs="Tahoma"/>
          <w:b/>
          <w:bCs/>
          <w:u w:val="single"/>
        </w:rPr>
      </w:pPr>
    </w:p>
    <w:p w:rsidR="00F60840" w:rsidRPr="007151BA" w:rsidRDefault="00F60840" w:rsidP="00F60840">
      <w:pPr>
        <w:rPr>
          <w:rFonts w:ascii="Century Gothic" w:hAnsi="Century Gothic" w:cs="Tahoma"/>
          <w:b/>
          <w:bCs/>
          <w:u w:val="single"/>
        </w:rPr>
      </w:pPr>
    </w:p>
    <w:p w:rsidR="00F60840" w:rsidRPr="007151BA" w:rsidRDefault="00F60840" w:rsidP="00F60840">
      <w:pPr>
        <w:rPr>
          <w:rFonts w:ascii="Century Gothic" w:hAnsi="Century Gothic" w:cs="Tahoma"/>
          <w:b/>
          <w:bCs/>
          <w:u w:val="single"/>
        </w:rPr>
      </w:pPr>
    </w:p>
    <w:p w:rsidR="003A017B" w:rsidRPr="007151BA" w:rsidRDefault="003A017B" w:rsidP="009753FC">
      <w:pPr>
        <w:rPr>
          <w:rFonts w:ascii="Century Gothic" w:hAnsi="Century Gothic"/>
          <w:b/>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3A017B" w:rsidRPr="007151BA" w:rsidRDefault="003A017B" w:rsidP="003A017B">
      <w:pPr>
        <w:rPr>
          <w:rFonts w:ascii="Century Gothic" w:hAnsi="Century Gothic"/>
          <w:lang w:val="en-US"/>
        </w:rPr>
      </w:pPr>
    </w:p>
    <w:p w:rsidR="00587F4D" w:rsidRPr="007151BA" w:rsidRDefault="00587F4D" w:rsidP="003A017B">
      <w:pPr>
        <w:tabs>
          <w:tab w:val="left" w:pos="3817"/>
        </w:tabs>
        <w:rPr>
          <w:rFonts w:ascii="Century Gothic" w:hAnsi="Century Gothic"/>
          <w:lang w:val="en-US"/>
        </w:rPr>
      </w:pPr>
    </w:p>
    <w:sectPr w:rsidR="00587F4D" w:rsidRPr="007151BA"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4A" w:rsidRDefault="0058264A" w:rsidP="0047765C">
      <w:pPr>
        <w:spacing w:after="0" w:line="240" w:lineRule="auto"/>
      </w:pPr>
      <w:r>
        <w:separator/>
      </w:r>
    </w:p>
  </w:endnote>
  <w:endnote w:type="continuationSeparator" w:id="0">
    <w:p w:rsidR="0058264A" w:rsidRDefault="0058264A"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A73" w:rsidRDefault="00A87A73"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4A" w:rsidRDefault="0058264A" w:rsidP="0047765C">
      <w:pPr>
        <w:spacing w:after="0" w:line="240" w:lineRule="auto"/>
      </w:pPr>
      <w:r>
        <w:separator/>
      </w:r>
    </w:p>
  </w:footnote>
  <w:footnote w:type="continuationSeparator" w:id="0">
    <w:p w:rsidR="0058264A" w:rsidRDefault="0058264A"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A73" w:rsidRDefault="00A87A73">
    <w:pPr>
      <w:pStyle w:val="Header"/>
    </w:pPr>
    <w:r>
      <w:t xml:space="preserve"> </w:t>
    </w:r>
    <w:r>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A87A73" w:rsidRDefault="00A87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5pt;height:3in"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B463D5F"/>
    <w:multiLevelType w:val="hybridMultilevel"/>
    <w:tmpl w:val="D3A0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06260"/>
    <w:multiLevelType w:val="hybridMultilevel"/>
    <w:tmpl w:val="A29A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72D96"/>
    <w:multiLevelType w:val="hybridMultilevel"/>
    <w:tmpl w:val="29C0FB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2AA7447"/>
    <w:multiLevelType w:val="hybridMultilevel"/>
    <w:tmpl w:val="A8B8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54575"/>
    <w:multiLevelType w:val="hybridMultilevel"/>
    <w:tmpl w:val="C3DC57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45D5AEE"/>
    <w:multiLevelType w:val="hybridMultilevel"/>
    <w:tmpl w:val="3080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F1596"/>
    <w:multiLevelType w:val="hybridMultilevel"/>
    <w:tmpl w:val="BAFC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AE5ECA"/>
    <w:multiLevelType w:val="hybridMultilevel"/>
    <w:tmpl w:val="307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47E4B"/>
    <w:multiLevelType w:val="hybridMultilevel"/>
    <w:tmpl w:val="AA76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6"/>
  </w:num>
  <w:num w:numId="4">
    <w:abstractNumId w:val="28"/>
  </w:num>
  <w:num w:numId="5">
    <w:abstractNumId w:val="11"/>
  </w:num>
  <w:num w:numId="6">
    <w:abstractNumId w:val="12"/>
  </w:num>
  <w:num w:numId="7">
    <w:abstractNumId w:val="23"/>
  </w:num>
  <w:num w:numId="8">
    <w:abstractNumId w:val="18"/>
  </w:num>
  <w:num w:numId="9">
    <w:abstractNumId w:val="4"/>
  </w:num>
  <w:num w:numId="10">
    <w:abstractNumId w:val="0"/>
  </w:num>
  <w:num w:numId="11">
    <w:abstractNumId w:val="17"/>
  </w:num>
  <w:num w:numId="12">
    <w:abstractNumId w:val="21"/>
  </w:num>
  <w:num w:numId="13">
    <w:abstractNumId w:val="19"/>
  </w:num>
  <w:num w:numId="14">
    <w:abstractNumId w:val="6"/>
  </w:num>
  <w:num w:numId="15">
    <w:abstractNumId w:val="3"/>
  </w:num>
  <w:num w:numId="16">
    <w:abstractNumId w:val="14"/>
  </w:num>
  <w:num w:numId="17">
    <w:abstractNumId w:val="13"/>
  </w:num>
  <w:num w:numId="18">
    <w:abstractNumId w:val="24"/>
  </w:num>
  <w:num w:numId="19">
    <w:abstractNumId w:val="27"/>
  </w:num>
  <w:num w:numId="20">
    <w:abstractNumId w:val="5"/>
  </w:num>
  <w:num w:numId="21">
    <w:abstractNumId w:val="2"/>
  </w:num>
  <w:num w:numId="22">
    <w:abstractNumId w:val="25"/>
  </w:num>
  <w:num w:numId="23">
    <w:abstractNumId w:val="7"/>
  </w:num>
  <w:num w:numId="24">
    <w:abstractNumId w:val="22"/>
  </w:num>
  <w:num w:numId="25">
    <w:abstractNumId w:val="1"/>
  </w:num>
  <w:num w:numId="26">
    <w:abstractNumId w:val="16"/>
  </w:num>
  <w:num w:numId="27">
    <w:abstractNumId w:val="29"/>
  </w:num>
  <w:num w:numId="28">
    <w:abstractNumId w:val="8"/>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D79C2"/>
    <w:rsid w:val="000F38D7"/>
    <w:rsid w:val="000F5BB8"/>
    <w:rsid w:val="001016C8"/>
    <w:rsid w:val="00105FE4"/>
    <w:rsid w:val="00127BAD"/>
    <w:rsid w:val="00160DCF"/>
    <w:rsid w:val="001644CD"/>
    <w:rsid w:val="00170EA7"/>
    <w:rsid w:val="001908D3"/>
    <w:rsid w:val="00192CBF"/>
    <w:rsid w:val="001949B9"/>
    <w:rsid w:val="00195610"/>
    <w:rsid w:val="001A2B0F"/>
    <w:rsid w:val="001B5652"/>
    <w:rsid w:val="001C7DEB"/>
    <w:rsid w:val="001F1933"/>
    <w:rsid w:val="001F3EDA"/>
    <w:rsid w:val="002172E8"/>
    <w:rsid w:val="00230605"/>
    <w:rsid w:val="0023423A"/>
    <w:rsid w:val="00235D12"/>
    <w:rsid w:val="002443B5"/>
    <w:rsid w:val="00281902"/>
    <w:rsid w:val="00284018"/>
    <w:rsid w:val="002A3C8F"/>
    <w:rsid w:val="002A7C43"/>
    <w:rsid w:val="002B69AE"/>
    <w:rsid w:val="002C3811"/>
    <w:rsid w:val="002E788E"/>
    <w:rsid w:val="00304B61"/>
    <w:rsid w:val="00311FA6"/>
    <w:rsid w:val="00320616"/>
    <w:rsid w:val="00331EF2"/>
    <w:rsid w:val="00353881"/>
    <w:rsid w:val="003538FE"/>
    <w:rsid w:val="00355EC5"/>
    <w:rsid w:val="003613BF"/>
    <w:rsid w:val="00397C0F"/>
    <w:rsid w:val="003A017B"/>
    <w:rsid w:val="003A7E33"/>
    <w:rsid w:val="003C3B58"/>
    <w:rsid w:val="003D5BD2"/>
    <w:rsid w:val="00400C82"/>
    <w:rsid w:val="0047269C"/>
    <w:rsid w:val="0047765C"/>
    <w:rsid w:val="004A4B6D"/>
    <w:rsid w:val="004B037E"/>
    <w:rsid w:val="004B4CBA"/>
    <w:rsid w:val="004B7BF4"/>
    <w:rsid w:val="004C58A2"/>
    <w:rsid w:val="004E52FC"/>
    <w:rsid w:val="005131A6"/>
    <w:rsid w:val="00576408"/>
    <w:rsid w:val="0058029E"/>
    <w:rsid w:val="0058264A"/>
    <w:rsid w:val="00584996"/>
    <w:rsid w:val="00587F4D"/>
    <w:rsid w:val="00593832"/>
    <w:rsid w:val="005947D1"/>
    <w:rsid w:val="005A0CCE"/>
    <w:rsid w:val="005A2962"/>
    <w:rsid w:val="005A4F89"/>
    <w:rsid w:val="005B5E39"/>
    <w:rsid w:val="005D5C09"/>
    <w:rsid w:val="006305FC"/>
    <w:rsid w:val="00631DCE"/>
    <w:rsid w:val="00634786"/>
    <w:rsid w:val="006432BC"/>
    <w:rsid w:val="00673BAB"/>
    <w:rsid w:val="00693C43"/>
    <w:rsid w:val="006C5CA4"/>
    <w:rsid w:val="007151BA"/>
    <w:rsid w:val="007227E2"/>
    <w:rsid w:val="00743396"/>
    <w:rsid w:val="00751202"/>
    <w:rsid w:val="00777C4F"/>
    <w:rsid w:val="007A7F2D"/>
    <w:rsid w:val="007B3FE4"/>
    <w:rsid w:val="007C4D69"/>
    <w:rsid w:val="00826BBB"/>
    <w:rsid w:val="0083184B"/>
    <w:rsid w:val="00844AF6"/>
    <w:rsid w:val="008458B3"/>
    <w:rsid w:val="00864697"/>
    <w:rsid w:val="00883E00"/>
    <w:rsid w:val="00893BFD"/>
    <w:rsid w:val="00894218"/>
    <w:rsid w:val="008C0E2C"/>
    <w:rsid w:val="008C354D"/>
    <w:rsid w:val="008D0E1E"/>
    <w:rsid w:val="008D6C35"/>
    <w:rsid w:val="00967B35"/>
    <w:rsid w:val="009753FC"/>
    <w:rsid w:val="009A0BC7"/>
    <w:rsid w:val="009B0EE7"/>
    <w:rsid w:val="009B5639"/>
    <w:rsid w:val="009C5686"/>
    <w:rsid w:val="00A01487"/>
    <w:rsid w:val="00A11E89"/>
    <w:rsid w:val="00A22009"/>
    <w:rsid w:val="00A36141"/>
    <w:rsid w:val="00A4743F"/>
    <w:rsid w:val="00A85802"/>
    <w:rsid w:val="00A87A73"/>
    <w:rsid w:val="00A91BF6"/>
    <w:rsid w:val="00AB23BE"/>
    <w:rsid w:val="00B431F6"/>
    <w:rsid w:val="00B57528"/>
    <w:rsid w:val="00B61A10"/>
    <w:rsid w:val="00BA0559"/>
    <w:rsid w:val="00BA30DD"/>
    <w:rsid w:val="00BC3521"/>
    <w:rsid w:val="00BD6726"/>
    <w:rsid w:val="00BE1FA1"/>
    <w:rsid w:val="00BF6AFC"/>
    <w:rsid w:val="00C0748F"/>
    <w:rsid w:val="00C24C1E"/>
    <w:rsid w:val="00C31356"/>
    <w:rsid w:val="00C42544"/>
    <w:rsid w:val="00C629B4"/>
    <w:rsid w:val="00C63580"/>
    <w:rsid w:val="00C7134F"/>
    <w:rsid w:val="00C7464D"/>
    <w:rsid w:val="00C9145B"/>
    <w:rsid w:val="00CB7125"/>
    <w:rsid w:val="00CB72C3"/>
    <w:rsid w:val="00CD2F36"/>
    <w:rsid w:val="00CE5522"/>
    <w:rsid w:val="00CF22F9"/>
    <w:rsid w:val="00CF6394"/>
    <w:rsid w:val="00D15A56"/>
    <w:rsid w:val="00D164CF"/>
    <w:rsid w:val="00D415D0"/>
    <w:rsid w:val="00D56A3B"/>
    <w:rsid w:val="00D8192C"/>
    <w:rsid w:val="00DB466C"/>
    <w:rsid w:val="00DB6BF8"/>
    <w:rsid w:val="00DB7F16"/>
    <w:rsid w:val="00DC4B86"/>
    <w:rsid w:val="00DE059F"/>
    <w:rsid w:val="00DE0B69"/>
    <w:rsid w:val="00DE2C62"/>
    <w:rsid w:val="00DF6D55"/>
    <w:rsid w:val="00E540A6"/>
    <w:rsid w:val="00E8230A"/>
    <w:rsid w:val="00E96808"/>
    <w:rsid w:val="00EB31D5"/>
    <w:rsid w:val="00ED451C"/>
    <w:rsid w:val="00F0171F"/>
    <w:rsid w:val="00F024DF"/>
    <w:rsid w:val="00F14C19"/>
    <w:rsid w:val="00F26F79"/>
    <w:rsid w:val="00F42478"/>
    <w:rsid w:val="00F45A2B"/>
    <w:rsid w:val="00F60840"/>
    <w:rsid w:val="00F76251"/>
    <w:rsid w:val="00F96021"/>
    <w:rsid w:val="00FD6C16"/>
    <w:rsid w:val="00FE4672"/>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9BC9"/>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C5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1760717620">
      <w:bodyDiv w:val="1"/>
      <w:marLeft w:val="0"/>
      <w:marRight w:val="0"/>
      <w:marTop w:val="0"/>
      <w:marBottom w:val="0"/>
      <w:divBdr>
        <w:top w:val="none" w:sz="0" w:space="0" w:color="auto"/>
        <w:left w:val="none" w:sz="0" w:space="0" w:color="auto"/>
        <w:bottom w:val="none" w:sz="0" w:space="0" w:color="auto"/>
        <w:right w:val="none" w:sz="0" w:space="0" w:color="auto"/>
      </w:divBdr>
    </w:div>
    <w:div w:id="1806434861">
      <w:bodyDiv w:val="1"/>
      <w:marLeft w:val="0"/>
      <w:marRight w:val="0"/>
      <w:marTop w:val="0"/>
      <w:marBottom w:val="0"/>
      <w:divBdr>
        <w:top w:val="none" w:sz="0" w:space="0" w:color="auto"/>
        <w:left w:val="none" w:sz="0" w:space="0" w:color="auto"/>
        <w:bottom w:val="none" w:sz="0" w:space="0" w:color="auto"/>
        <w:right w:val="none" w:sz="0" w:space="0" w:color="auto"/>
      </w:divBdr>
      <w:divsChild>
        <w:div w:id="572399383">
          <w:marLeft w:val="0"/>
          <w:marRight w:val="0"/>
          <w:marTop w:val="0"/>
          <w:marBottom w:val="0"/>
          <w:divBdr>
            <w:top w:val="none" w:sz="0" w:space="0" w:color="auto"/>
            <w:left w:val="none" w:sz="0" w:space="0" w:color="auto"/>
            <w:bottom w:val="none" w:sz="0" w:space="0" w:color="auto"/>
            <w:right w:val="none" w:sz="0" w:space="0" w:color="auto"/>
          </w:divBdr>
        </w:div>
        <w:div w:id="1084499322">
          <w:marLeft w:val="0"/>
          <w:marRight w:val="0"/>
          <w:marTop w:val="0"/>
          <w:marBottom w:val="0"/>
          <w:divBdr>
            <w:top w:val="none" w:sz="0" w:space="0" w:color="auto"/>
            <w:left w:val="none" w:sz="0" w:space="0" w:color="auto"/>
            <w:bottom w:val="none" w:sz="0" w:space="0" w:color="auto"/>
            <w:right w:val="none" w:sz="0" w:space="0" w:color="auto"/>
          </w:divBdr>
        </w:div>
        <w:div w:id="1342969930">
          <w:marLeft w:val="0"/>
          <w:marRight w:val="0"/>
          <w:marTop w:val="0"/>
          <w:marBottom w:val="0"/>
          <w:divBdr>
            <w:top w:val="none" w:sz="0" w:space="0" w:color="auto"/>
            <w:left w:val="none" w:sz="0" w:space="0" w:color="auto"/>
            <w:bottom w:val="none" w:sz="0" w:space="0" w:color="auto"/>
            <w:right w:val="none" w:sz="0" w:space="0" w:color="auto"/>
          </w:divBdr>
        </w:div>
        <w:div w:id="1896576991">
          <w:marLeft w:val="0"/>
          <w:marRight w:val="0"/>
          <w:marTop w:val="0"/>
          <w:marBottom w:val="0"/>
          <w:divBdr>
            <w:top w:val="none" w:sz="0" w:space="0" w:color="auto"/>
            <w:left w:val="none" w:sz="0" w:space="0" w:color="auto"/>
            <w:bottom w:val="none" w:sz="0" w:space="0" w:color="auto"/>
            <w:right w:val="none" w:sz="0" w:space="0" w:color="auto"/>
          </w:divBdr>
        </w:div>
        <w:div w:id="1442064183">
          <w:marLeft w:val="0"/>
          <w:marRight w:val="0"/>
          <w:marTop w:val="0"/>
          <w:marBottom w:val="0"/>
          <w:divBdr>
            <w:top w:val="none" w:sz="0" w:space="0" w:color="auto"/>
            <w:left w:val="none" w:sz="0" w:space="0" w:color="auto"/>
            <w:bottom w:val="none" w:sz="0" w:space="0" w:color="auto"/>
            <w:right w:val="none" w:sz="0" w:space="0" w:color="auto"/>
          </w:divBdr>
        </w:div>
        <w:div w:id="1923485942">
          <w:marLeft w:val="0"/>
          <w:marRight w:val="0"/>
          <w:marTop w:val="0"/>
          <w:marBottom w:val="0"/>
          <w:divBdr>
            <w:top w:val="none" w:sz="0" w:space="0" w:color="auto"/>
            <w:left w:val="none" w:sz="0" w:space="0" w:color="auto"/>
            <w:bottom w:val="none" w:sz="0" w:space="0" w:color="auto"/>
            <w:right w:val="none" w:sz="0" w:space="0" w:color="auto"/>
          </w:divBdr>
        </w:div>
        <w:div w:id="703481172">
          <w:marLeft w:val="0"/>
          <w:marRight w:val="0"/>
          <w:marTop w:val="0"/>
          <w:marBottom w:val="0"/>
          <w:divBdr>
            <w:top w:val="none" w:sz="0" w:space="0" w:color="auto"/>
            <w:left w:val="none" w:sz="0" w:space="0" w:color="auto"/>
            <w:bottom w:val="none" w:sz="0" w:space="0" w:color="auto"/>
            <w:right w:val="none" w:sz="0" w:space="0" w:color="auto"/>
          </w:divBdr>
        </w:div>
        <w:div w:id="1309673294">
          <w:marLeft w:val="0"/>
          <w:marRight w:val="0"/>
          <w:marTop w:val="0"/>
          <w:marBottom w:val="0"/>
          <w:divBdr>
            <w:top w:val="none" w:sz="0" w:space="0" w:color="auto"/>
            <w:left w:val="none" w:sz="0" w:space="0" w:color="auto"/>
            <w:bottom w:val="none" w:sz="0" w:space="0" w:color="auto"/>
            <w:right w:val="none" w:sz="0" w:space="0" w:color="auto"/>
          </w:divBdr>
        </w:div>
        <w:div w:id="856773870">
          <w:marLeft w:val="0"/>
          <w:marRight w:val="0"/>
          <w:marTop w:val="0"/>
          <w:marBottom w:val="0"/>
          <w:divBdr>
            <w:top w:val="none" w:sz="0" w:space="0" w:color="auto"/>
            <w:left w:val="none" w:sz="0" w:space="0" w:color="auto"/>
            <w:bottom w:val="none" w:sz="0" w:space="0" w:color="auto"/>
            <w:right w:val="none" w:sz="0" w:space="0" w:color="auto"/>
          </w:divBdr>
        </w:div>
        <w:div w:id="1439988595">
          <w:marLeft w:val="0"/>
          <w:marRight w:val="0"/>
          <w:marTop w:val="0"/>
          <w:marBottom w:val="0"/>
          <w:divBdr>
            <w:top w:val="none" w:sz="0" w:space="0" w:color="auto"/>
            <w:left w:val="none" w:sz="0" w:space="0" w:color="auto"/>
            <w:bottom w:val="none" w:sz="0" w:space="0" w:color="auto"/>
            <w:right w:val="none" w:sz="0" w:space="0" w:color="auto"/>
          </w:divBdr>
        </w:div>
        <w:div w:id="530806140">
          <w:marLeft w:val="0"/>
          <w:marRight w:val="0"/>
          <w:marTop w:val="0"/>
          <w:marBottom w:val="0"/>
          <w:divBdr>
            <w:top w:val="none" w:sz="0" w:space="0" w:color="auto"/>
            <w:left w:val="none" w:sz="0" w:space="0" w:color="auto"/>
            <w:bottom w:val="none" w:sz="0" w:space="0" w:color="auto"/>
            <w:right w:val="none" w:sz="0" w:space="0" w:color="auto"/>
          </w:divBdr>
        </w:div>
        <w:div w:id="1185750913">
          <w:marLeft w:val="0"/>
          <w:marRight w:val="0"/>
          <w:marTop w:val="0"/>
          <w:marBottom w:val="0"/>
          <w:divBdr>
            <w:top w:val="none" w:sz="0" w:space="0" w:color="auto"/>
            <w:left w:val="none" w:sz="0" w:space="0" w:color="auto"/>
            <w:bottom w:val="none" w:sz="0" w:space="0" w:color="auto"/>
            <w:right w:val="none" w:sz="0" w:space="0" w:color="auto"/>
          </w:divBdr>
        </w:div>
        <w:div w:id="833910814">
          <w:marLeft w:val="0"/>
          <w:marRight w:val="0"/>
          <w:marTop w:val="0"/>
          <w:marBottom w:val="0"/>
          <w:divBdr>
            <w:top w:val="none" w:sz="0" w:space="0" w:color="auto"/>
            <w:left w:val="none" w:sz="0" w:space="0" w:color="auto"/>
            <w:bottom w:val="none" w:sz="0" w:space="0" w:color="auto"/>
            <w:right w:val="none" w:sz="0" w:space="0" w:color="auto"/>
          </w:divBdr>
        </w:div>
        <w:div w:id="1337461730">
          <w:marLeft w:val="0"/>
          <w:marRight w:val="0"/>
          <w:marTop w:val="0"/>
          <w:marBottom w:val="0"/>
          <w:divBdr>
            <w:top w:val="none" w:sz="0" w:space="0" w:color="auto"/>
            <w:left w:val="none" w:sz="0" w:space="0" w:color="auto"/>
            <w:bottom w:val="none" w:sz="0" w:space="0" w:color="auto"/>
            <w:right w:val="none" w:sz="0" w:space="0" w:color="auto"/>
          </w:divBdr>
        </w:div>
        <w:div w:id="1850679402">
          <w:marLeft w:val="0"/>
          <w:marRight w:val="0"/>
          <w:marTop w:val="0"/>
          <w:marBottom w:val="0"/>
          <w:divBdr>
            <w:top w:val="none" w:sz="0" w:space="0" w:color="auto"/>
            <w:left w:val="none" w:sz="0" w:space="0" w:color="auto"/>
            <w:bottom w:val="none" w:sz="0" w:space="0" w:color="auto"/>
            <w:right w:val="none" w:sz="0" w:space="0" w:color="auto"/>
          </w:divBdr>
        </w:div>
        <w:div w:id="622464440">
          <w:marLeft w:val="0"/>
          <w:marRight w:val="0"/>
          <w:marTop w:val="0"/>
          <w:marBottom w:val="0"/>
          <w:divBdr>
            <w:top w:val="none" w:sz="0" w:space="0" w:color="auto"/>
            <w:left w:val="none" w:sz="0" w:space="0" w:color="auto"/>
            <w:bottom w:val="none" w:sz="0" w:space="0" w:color="auto"/>
            <w:right w:val="none" w:sz="0" w:space="0" w:color="auto"/>
          </w:divBdr>
        </w:div>
        <w:div w:id="153068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F6FD-116B-4AA6-A800-4523262C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Ayre</dc:creator>
  <cp:lastModifiedBy>M Kennedy</cp:lastModifiedBy>
  <cp:revision>2</cp:revision>
  <cp:lastPrinted>2017-01-30T07:48:00Z</cp:lastPrinted>
  <dcterms:created xsi:type="dcterms:W3CDTF">2024-07-10T18:35:00Z</dcterms:created>
  <dcterms:modified xsi:type="dcterms:W3CDTF">2024-07-10T18:35:00Z</dcterms:modified>
</cp:coreProperties>
</file>