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978"/>
        <w:gridCol w:w="2831"/>
        <w:gridCol w:w="2125"/>
        <w:gridCol w:w="2407"/>
        <w:gridCol w:w="1857"/>
        <w:gridCol w:w="1993"/>
        <w:gridCol w:w="2197"/>
      </w:tblGrid>
      <w:tr w:rsidR="00D56A3B" w:rsidRPr="00D60CCE" w14:paraId="3FC29FB4" w14:textId="77777777" w:rsidTr="009F79C3">
        <w:tc>
          <w:tcPr>
            <w:tcW w:w="15388" w:type="dxa"/>
            <w:gridSpan w:val="7"/>
          </w:tcPr>
          <w:p w14:paraId="0598535C" w14:textId="77777777" w:rsidR="00D56A3B" w:rsidRPr="00D60CCE" w:rsidRDefault="00153181" w:rsidP="00D56A3B">
            <w:pPr>
              <w:spacing w:after="0" w:line="240" w:lineRule="auto"/>
              <w:jc w:val="center"/>
              <w:rPr>
                <w:rFonts w:ascii="Century Gothic" w:hAnsi="Century Gothic" w:cs="Tahoma"/>
                <w:b/>
                <w:bCs/>
                <w:color w:val="000000"/>
              </w:rPr>
            </w:pPr>
            <w:r w:rsidRPr="00D60CCE">
              <w:rPr>
                <w:rFonts w:ascii="Century Gothic" w:hAnsi="Century Gothic" w:cs="Tahoma"/>
                <w:b/>
                <w:bCs/>
                <w:color w:val="000000"/>
              </w:rPr>
              <w:t xml:space="preserve">Year </w:t>
            </w:r>
            <w:r w:rsidR="0069528A" w:rsidRPr="00D60CCE">
              <w:rPr>
                <w:rFonts w:ascii="Century Gothic" w:hAnsi="Century Gothic" w:cs="Tahoma"/>
                <w:b/>
                <w:bCs/>
                <w:color w:val="000000"/>
              </w:rPr>
              <w:t>10</w:t>
            </w:r>
            <w:r w:rsidRPr="00D60CCE">
              <w:rPr>
                <w:rFonts w:ascii="Century Gothic" w:hAnsi="Century Gothic" w:cs="Tahoma"/>
                <w:b/>
                <w:bCs/>
                <w:color w:val="000000"/>
              </w:rPr>
              <w:t xml:space="preserve"> - Science</w:t>
            </w:r>
          </w:p>
        </w:tc>
      </w:tr>
      <w:tr w:rsidR="0040082C" w:rsidRPr="00D60CCE" w14:paraId="4AE693BD" w14:textId="77777777" w:rsidTr="007E0E54">
        <w:tc>
          <w:tcPr>
            <w:tcW w:w="1980" w:type="dxa"/>
          </w:tcPr>
          <w:p w14:paraId="28758778" w14:textId="77777777" w:rsidR="0040082C" w:rsidRPr="00D60CCE" w:rsidRDefault="0040082C" w:rsidP="0040082C">
            <w:pPr>
              <w:spacing w:after="0" w:line="240" w:lineRule="auto"/>
              <w:rPr>
                <w:rFonts w:ascii="Century Gothic" w:hAnsi="Century Gothic" w:cs="Tahoma"/>
                <w:b/>
                <w:bCs/>
                <w:color w:val="000000"/>
              </w:rPr>
            </w:pPr>
            <w:r w:rsidRPr="00D60CCE">
              <w:rPr>
                <w:rFonts w:ascii="Century Gothic" w:hAnsi="Century Gothic" w:cs="Tahoma"/>
                <w:b/>
                <w:bCs/>
                <w:color w:val="000000"/>
              </w:rPr>
              <w:t>Curriculum intent</w:t>
            </w:r>
          </w:p>
        </w:tc>
        <w:tc>
          <w:tcPr>
            <w:tcW w:w="13408" w:type="dxa"/>
            <w:gridSpan w:val="6"/>
          </w:tcPr>
          <w:p w14:paraId="3FDAE095" w14:textId="77777777" w:rsidR="0040082C" w:rsidRPr="00D60CCE" w:rsidRDefault="0040082C" w:rsidP="0040082C">
            <w:pPr>
              <w:spacing w:after="0" w:line="240" w:lineRule="auto"/>
              <w:rPr>
                <w:rFonts w:ascii="Century Gothic" w:hAnsi="Century Gothic" w:cstheme="minorHAnsi"/>
                <w:bCs/>
                <w:color w:val="000000"/>
              </w:rPr>
            </w:pPr>
            <w:r w:rsidRPr="00D60CCE">
              <w:rPr>
                <w:rFonts w:ascii="Century Gothic" w:hAnsi="Century Gothic" w:cstheme="minorHAnsi"/>
                <w:bCs/>
                <w:color w:val="000000"/>
              </w:rPr>
              <w:t xml:space="preserve">During year </w:t>
            </w:r>
            <w:r w:rsidR="00E40250" w:rsidRPr="00D60CCE">
              <w:rPr>
                <w:rFonts w:ascii="Century Gothic" w:hAnsi="Century Gothic" w:cstheme="minorHAnsi"/>
                <w:bCs/>
                <w:color w:val="000000"/>
              </w:rPr>
              <w:t>10</w:t>
            </w:r>
            <w:r w:rsidRPr="00D60CCE">
              <w:rPr>
                <w:rFonts w:ascii="Century Gothic" w:hAnsi="Century Gothic" w:cstheme="minorHAnsi"/>
                <w:bCs/>
                <w:color w:val="000000"/>
              </w:rPr>
              <w:t xml:space="preserve"> learners will consolidate the knowledge they have learnt so far in </w:t>
            </w:r>
            <w:r w:rsidR="00E40250" w:rsidRPr="00D60CCE">
              <w:rPr>
                <w:rFonts w:ascii="Century Gothic" w:hAnsi="Century Gothic" w:cstheme="minorHAnsi"/>
                <w:bCs/>
                <w:color w:val="000000"/>
              </w:rPr>
              <w:t xml:space="preserve">KS3 </w:t>
            </w:r>
            <w:r w:rsidRPr="00D60CCE">
              <w:rPr>
                <w:rFonts w:ascii="Century Gothic" w:hAnsi="Century Gothic" w:cstheme="minorHAnsi"/>
                <w:bCs/>
                <w:color w:val="000000"/>
              </w:rPr>
              <w:t>science, to further develop their</w:t>
            </w:r>
            <w:r w:rsidRPr="00D60CCE">
              <w:rPr>
                <w:rFonts w:ascii="Century Gothic" w:hAnsi="Century Gothic" w:cstheme="minorHAnsi"/>
              </w:rPr>
              <w:t xml:space="preserve"> scientific knowledge and conceptual understanding through the study of biology, chemistry and physics. Learners will deepen there understanding of the nature, processes and methods of science through different types of scientific enquiries that help them to answer scientific questions about the world around them. Through </w:t>
            </w:r>
            <w:r w:rsidR="005D537B" w:rsidRPr="00D60CCE">
              <w:rPr>
                <w:rFonts w:ascii="Century Gothic" w:hAnsi="Century Gothic" w:cstheme="minorHAnsi"/>
              </w:rPr>
              <w:t>these learners</w:t>
            </w:r>
            <w:r w:rsidRPr="00D60CCE">
              <w:rPr>
                <w:rFonts w:ascii="Century Gothic" w:hAnsi="Century Gothic" w:cstheme="minorHAnsi"/>
              </w:rPr>
              <w:t xml:space="preserve"> will be given the opportunities to apply their scientific knowledge to understand the uses and implications of science, today and for the future.</w:t>
            </w:r>
          </w:p>
        </w:tc>
      </w:tr>
      <w:tr w:rsidR="0011773B" w:rsidRPr="00D60CCE" w14:paraId="4B6EE41F" w14:textId="77777777" w:rsidTr="007E0E54">
        <w:tc>
          <w:tcPr>
            <w:tcW w:w="1980" w:type="dxa"/>
          </w:tcPr>
          <w:p w14:paraId="0ABE8AD0" w14:textId="77777777" w:rsidR="0040082C" w:rsidRPr="00D60CCE" w:rsidRDefault="0040082C" w:rsidP="0040082C">
            <w:pPr>
              <w:spacing w:after="0" w:line="240" w:lineRule="auto"/>
              <w:rPr>
                <w:rFonts w:ascii="Century Gothic" w:hAnsi="Century Gothic" w:cs="Tahoma"/>
                <w:b/>
                <w:bCs/>
                <w:color w:val="000000"/>
              </w:rPr>
            </w:pPr>
            <w:r w:rsidRPr="00D60CCE">
              <w:rPr>
                <w:rFonts w:ascii="Century Gothic" w:hAnsi="Century Gothic" w:cs="Tahoma"/>
                <w:b/>
                <w:bCs/>
                <w:color w:val="000000"/>
              </w:rPr>
              <w:t>Term</w:t>
            </w:r>
          </w:p>
        </w:tc>
        <w:tc>
          <w:tcPr>
            <w:tcW w:w="2835" w:type="dxa"/>
          </w:tcPr>
          <w:p w14:paraId="4ADFF62C" w14:textId="77777777" w:rsidR="0040082C" w:rsidRPr="00D60CCE" w:rsidRDefault="0040082C" w:rsidP="0040082C">
            <w:pPr>
              <w:spacing w:after="0" w:line="240" w:lineRule="auto"/>
              <w:rPr>
                <w:rFonts w:ascii="Century Gothic" w:hAnsi="Century Gothic" w:cs="Tahoma"/>
                <w:b/>
                <w:bCs/>
                <w:color w:val="000000"/>
              </w:rPr>
            </w:pPr>
            <w:r w:rsidRPr="00D60CCE">
              <w:rPr>
                <w:rFonts w:ascii="Century Gothic" w:hAnsi="Century Gothic" w:cs="Tahoma"/>
                <w:b/>
                <w:bCs/>
                <w:color w:val="000000"/>
              </w:rPr>
              <w:t>Autumn 1</w:t>
            </w:r>
          </w:p>
        </w:tc>
        <w:tc>
          <w:tcPr>
            <w:tcW w:w="2126" w:type="dxa"/>
          </w:tcPr>
          <w:p w14:paraId="0CF3E10F" w14:textId="77777777" w:rsidR="0040082C" w:rsidRPr="00D60CCE" w:rsidRDefault="0040082C" w:rsidP="0040082C">
            <w:pPr>
              <w:spacing w:after="0" w:line="240" w:lineRule="auto"/>
              <w:rPr>
                <w:rFonts w:ascii="Century Gothic" w:hAnsi="Century Gothic" w:cs="Tahoma"/>
                <w:b/>
                <w:bCs/>
                <w:color w:val="000000"/>
              </w:rPr>
            </w:pPr>
            <w:r w:rsidRPr="00D60CCE">
              <w:rPr>
                <w:rFonts w:ascii="Century Gothic" w:hAnsi="Century Gothic" w:cs="Tahoma"/>
                <w:b/>
                <w:bCs/>
                <w:color w:val="000000"/>
              </w:rPr>
              <w:t>Autumn 2</w:t>
            </w:r>
          </w:p>
        </w:tc>
        <w:tc>
          <w:tcPr>
            <w:tcW w:w="2410" w:type="dxa"/>
          </w:tcPr>
          <w:p w14:paraId="030DC595" w14:textId="77777777" w:rsidR="0040082C" w:rsidRPr="00D60CCE" w:rsidRDefault="0040082C" w:rsidP="0040082C">
            <w:pPr>
              <w:spacing w:after="0" w:line="240" w:lineRule="auto"/>
              <w:rPr>
                <w:rFonts w:ascii="Century Gothic" w:hAnsi="Century Gothic" w:cs="Tahoma"/>
                <w:b/>
                <w:bCs/>
                <w:color w:val="000000"/>
              </w:rPr>
            </w:pPr>
            <w:r w:rsidRPr="00D60CCE">
              <w:rPr>
                <w:rFonts w:ascii="Century Gothic" w:hAnsi="Century Gothic" w:cs="Tahoma"/>
                <w:b/>
                <w:bCs/>
                <w:color w:val="000000"/>
              </w:rPr>
              <w:t>Spring 1</w:t>
            </w:r>
          </w:p>
        </w:tc>
        <w:tc>
          <w:tcPr>
            <w:tcW w:w="1843" w:type="dxa"/>
          </w:tcPr>
          <w:p w14:paraId="4261A365" w14:textId="77777777" w:rsidR="0040082C" w:rsidRPr="00D60CCE" w:rsidRDefault="0040082C" w:rsidP="0040082C">
            <w:pPr>
              <w:spacing w:after="0" w:line="240" w:lineRule="auto"/>
              <w:rPr>
                <w:rFonts w:ascii="Century Gothic" w:hAnsi="Century Gothic" w:cs="Tahoma"/>
                <w:b/>
                <w:bCs/>
                <w:color w:val="000000"/>
              </w:rPr>
            </w:pPr>
            <w:r w:rsidRPr="00D60CCE">
              <w:rPr>
                <w:rFonts w:ascii="Century Gothic" w:hAnsi="Century Gothic" w:cs="Tahoma"/>
                <w:b/>
                <w:bCs/>
                <w:color w:val="000000"/>
              </w:rPr>
              <w:t>Spring 2</w:t>
            </w:r>
          </w:p>
        </w:tc>
        <w:tc>
          <w:tcPr>
            <w:tcW w:w="1995" w:type="dxa"/>
          </w:tcPr>
          <w:p w14:paraId="36C6315C" w14:textId="77777777" w:rsidR="0040082C" w:rsidRPr="00D60CCE" w:rsidRDefault="0040082C" w:rsidP="0040082C">
            <w:pPr>
              <w:spacing w:after="0" w:line="240" w:lineRule="auto"/>
              <w:rPr>
                <w:rFonts w:ascii="Century Gothic" w:hAnsi="Century Gothic" w:cs="Tahoma"/>
                <w:b/>
                <w:bCs/>
                <w:color w:val="000000"/>
              </w:rPr>
            </w:pPr>
            <w:r w:rsidRPr="00D60CCE">
              <w:rPr>
                <w:rFonts w:ascii="Century Gothic" w:hAnsi="Century Gothic" w:cs="Tahoma"/>
                <w:b/>
                <w:bCs/>
                <w:color w:val="000000"/>
              </w:rPr>
              <w:t>Summer 1</w:t>
            </w:r>
          </w:p>
        </w:tc>
        <w:tc>
          <w:tcPr>
            <w:tcW w:w="2199" w:type="dxa"/>
          </w:tcPr>
          <w:p w14:paraId="6C6074D4" w14:textId="77777777" w:rsidR="0040082C" w:rsidRPr="00D60CCE" w:rsidRDefault="0040082C" w:rsidP="0040082C">
            <w:pPr>
              <w:spacing w:after="0" w:line="240" w:lineRule="auto"/>
              <w:rPr>
                <w:rFonts w:ascii="Century Gothic" w:hAnsi="Century Gothic" w:cs="Tahoma"/>
                <w:b/>
                <w:bCs/>
                <w:color w:val="000000"/>
              </w:rPr>
            </w:pPr>
            <w:r w:rsidRPr="00D60CCE">
              <w:rPr>
                <w:rFonts w:ascii="Century Gothic" w:hAnsi="Century Gothic" w:cs="Tahoma"/>
                <w:b/>
                <w:bCs/>
                <w:color w:val="000000"/>
              </w:rPr>
              <w:t>Summer 2</w:t>
            </w:r>
          </w:p>
        </w:tc>
      </w:tr>
      <w:tr w:rsidR="00671B91" w:rsidRPr="00D60CCE" w14:paraId="2F8921C7" w14:textId="77777777" w:rsidTr="007E0E54">
        <w:tc>
          <w:tcPr>
            <w:tcW w:w="1980" w:type="dxa"/>
          </w:tcPr>
          <w:p w14:paraId="783263E2" w14:textId="77777777" w:rsidR="00671B91" w:rsidRPr="00D60CCE" w:rsidRDefault="00671B91" w:rsidP="00671B91">
            <w:pPr>
              <w:spacing w:after="0" w:line="240" w:lineRule="auto"/>
              <w:rPr>
                <w:rFonts w:ascii="Century Gothic" w:hAnsi="Century Gothic" w:cs="Calibri"/>
                <w:b/>
                <w:bCs/>
                <w:color w:val="000000"/>
              </w:rPr>
            </w:pPr>
            <w:r w:rsidRPr="00D60CCE">
              <w:rPr>
                <w:rFonts w:ascii="Century Gothic" w:hAnsi="Century Gothic" w:cs="Calibri"/>
                <w:b/>
                <w:bCs/>
                <w:color w:val="000000"/>
              </w:rPr>
              <w:t>Knowledge</w:t>
            </w:r>
          </w:p>
        </w:tc>
        <w:tc>
          <w:tcPr>
            <w:tcW w:w="2835" w:type="dxa"/>
          </w:tcPr>
          <w:p w14:paraId="402EC126" w14:textId="2EC287D2" w:rsidR="00671B91" w:rsidRPr="00D60CCE" w:rsidRDefault="00671B91" w:rsidP="00671B91">
            <w:pPr>
              <w:rPr>
                <w:rFonts w:ascii="Century Gothic" w:hAnsi="Century Gothic" w:cs="Calibri"/>
              </w:rPr>
            </w:pPr>
            <w:r w:rsidRPr="00D60CCE">
              <w:rPr>
                <w:rFonts w:ascii="Century Gothic" w:hAnsi="Century Gothic" w:cs="Calibri"/>
                <w:b/>
              </w:rPr>
              <w:t xml:space="preserve">Cells and Organisation - </w:t>
            </w:r>
            <w:r w:rsidRPr="00D60CCE">
              <w:rPr>
                <w:rFonts w:ascii="Century Gothic" w:hAnsi="Century Gothic" w:cs="Calibri"/>
              </w:rPr>
              <w:t xml:space="preserve">Learners will review the organisation of cells, tissues and organs and the different organ systems in the body and the importance of surface area to volume ratio. Learners will then develop their understanding of the role played by organs in the digestive, respiratory and circulatory system. </w:t>
            </w:r>
          </w:p>
          <w:p w14:paraId="194F1846" w14:textId="77777777" w:rsidR="00671B91" w:rsidRPr="00D60CCE" w:rsidRDefault="00671B91" w:rsidP="00671B91">
            <w:pPr>
              <w:rPr>
                <w:rFonts w:ascii="Century Gothic" w:hAnsi="Century Gothic" w:cs="Calibri"/>
              </w:rPr>
            </w:pPr>
            <w:r w:rsidRPr="00D60CCE">
              <w:rPr>
                <w:rFonts w:ascii="Century Gothic" w:hAnsi="Century Gothic" w:cs="Calibri"/>
                <w:b/>
              </w:rPr>
              <w:t xml:space="preserve">Atomic Structure and Bonding - </w:t>
            </w:r>
            <w:r w:rsidRPr="00D60CCE">
              <w:rPr>
                <w:rFonts w:ascii="Century Gothic" w:eastAsiaTheme="minorEastAsia" w:hAnsi="Century Gothic"/>
              </w:rPr>
              <w:t xml:space="preserve">Learners will begin by studying the structure of the atom, particularly electronic configuration. They </w:t>
            </w:r>
            <w:r w:rsidRPr="00D60CCE">
              <w:rPr>
                <w:rFonts w:ascii="Century Gothic" w:hAnsi="Century Gothic" w:cs="Calibri"/>
              </w:rPr>
              <w:t xml:space="preserve">will then learn about ionic </w:t>
            </w:r>
            <w:r w:rsidRPr="00D60CCE">
              <w:rPr>
                <w:rFonts w:ascii="Century Gothic" w:hAnsi="Century Gothic" w:cs="Calibri"/>
              </w:rPr>
              <w:lastRenderedPageBreak/>
              <w:t>and covalent bonding in terms of electrons and the properties of ionic and covalent substances. Learners will look in more detail at a number of different compounds that contain ionic and covalent bonding, and they will relate the bonding and structure in these compounds to their properties, for example sodium chloride, graphite, diamond, fullerenes and polymers.</w:t>
            </w:r>
          </w:p>
          <w:p w14:paraId="0A62E35D" w14:textId="77777777" w:rsidR="00671B91" w:rsidRPr="00D60CCE" w:rsidRDefault="00671B91" w:rsidP="00671B91">
            <w:pPr>
              <w:rPr>
                <w:rFonts w:ascii="Century Gothic" w:hAnsi="Century Gothic" w:cs="Calibri"/>
                <w:b/>
              </w:rPr>
            </w:pPr>
          </w:p>
        </w:tc>
        <w:tc>
          <w:tcPr>
            <w:tcW w:w="2126" w:type="dxa"/>
          </w:tcPr>
          <w:p w14:paraId="0EB92787" w14:textId="02A611A5" w:rsidR="00671B91" w:rsidRPr="00D60CCE" w:rsidRDefault="00671B91" w:rsidP="00671B91">
            <w:pPr>
              <w:pStyle w:val="NoSpacing"/>
              <w:rPr>
                <w:rFonts w:ascii="Century Gothic" w:hAnsi="Century Gothic" w:cs="Calibri"/>
              </w:rPr>
            </w:pPr>
            <w:r w:rsidRPr="00D60CCE">
              <w:rPr>
                <w:rFonts w:ascii="Century Gothic" w:hAnsi="Century Gothic" w:cs="Calibri"/>
                <w:b/>
              </w:rPr>
              <w:lastRenderedPageBreak/>
              <w:t xml:space="preserve">Particle Model of Matter – </w:t>
            </w:r>
            <w:r w:rsidRPr="00D60CCE">
              <w:rPr>
                <w:rFonts w:ascii="Century Gothic" w:hAnsi="Century Gothic" w:cs="Calibri"/>
              </w:rPr>
              <w:t xml:space="preserve">Learners will review the particle model and the arrangement and movement of particles in each of the states of matter. They will also review ideas about what happens during changes of state, including the internal energy of a system. They will also investigate density and compare the different states of matter in terms of density, as well as </w:t>
            </w:r>
            <w:r w:rsidRPr="00D60CCE">
              <w:rPr>
                <w:rFonts w:ascii="Century Gothic" w:hAnsi="Century Gothic" w:cs="Calibri"/>
              </w:rPr>
              <w:lastRenderedPageBreak/>
              <w:t>how gases exert pressure.</w:t>
            </w:r>
          </w:p>
          <w:p w14:paraId="702E171E" w14:textId="77777777" w:rsidR="00671B91" w:rsidRPr="00D60CCE" w:rsidRDefault="00671B91" w:rsidP="00671B91">
            <w:pPr>
              <w:pStyle w:val="NoSpacing"/>
              <w:rPr>
                <w:rFonts w:ascii="Century Gothic" w:hAnsi="Century Gothic" w:cs="Calibri"/>
              </w:rPr>
            </w:pPr>
          </w:p>
          <w:p w14:paraId="3339D921" w14:textId="478FA770" w:rsidR="00671B91" w:rsidRPr="00D60CCE" w:rsidRDefault="00671B91" w:rsidP="00671B91">
            <w:pPr>
              <w:rPr>
                <w:rFonts w:ascii="Century Gothic" w:hAnsi="Century Gothic"/>
              </w:rPr>
            </w:pPr>
            <w:r w:rsidRPr="00D60CCE">
              <w:rPr>
                <w:rFonts w:ascii="Century Gothic" w:hAnsi="Century Gothic" w:cs="Calibri"/>
                <w:b/>
              </w:rPr>
              <w:t xml:space="preserve">Bioenergetics – </w:t>
            </w:r>
            <w:r w:rsidRPr="00D60CCE">
              <w:rPr>
                <w:rFonts w:ascii="Century Gothic" w:hAnsi="Century Gothic" w:cs="Calibri"/>
              </w:rPr>
              <w:t xml:space="preserve">Learners will study plant and material cycling, including the process of photosynthesis and the uses of glucose in a plant, as well as limiting factors of photosynthesis. They will review the structure of the leaf, linking to plant structures and the processes of transpiration and translocation. </w:t>
            </w:r>
          </w:p>
          <w:p w14:paraId="4D4B8AF3" w14:textId="77777777" w:rsidR="00671B91" w:rsidRPr="00D60CCE" w:rsidRDefault="00671B91" w:rsidP="00671B91">
            <w:pPr>
              <w:rPr>
                <w:rFonts w:ascii="Century Gothic" w:hAnsi="Century Gothic" w:cs="Calibri"/>
                <w:bCs/>
                <w:color w:val="000000"/>
              </w:rPr>
            </w:pPr>
          </w:p>
        </w:tc>
        <w:tc>
          <w:tcPr>
            <w:tcW w:w="2410" w:type="dxa"/>
          </w:tcPr>
          <w:p w14:paraId="661E5C73" w14:textId="519D1D63" w:rsidR="00671B91" w:rsidRPr="00D60CCE" w:rsidRDefault="00671B91" w:rsidP="00671B91">
            <w:pPr>
              <w:rPr>
                <w:rFonts w:ascii="Century Gothic" w:hAnsi="Century Gothic" w:cs="Calibri"/>
                <w:b/>
                <w:bCs/>
                <w:color w:val="000000"/>
              </w:rPr>
            </w:pPr>
            <w:r w:rsidRPr="00D60CCE">
              <w:rPr>
                <w:rFonts w:ascii="Century Gothic" w:hAnsi="Century Gothic" w:cs="Calibri"/>
                <w:b/>
              </w:rPr>
              <w:lastRenderedPageBreak/>
              <w:t xml:space="preserve">Chemical Changes - </w:t>
            </w:r>
            <w:r w:rsidRPr="00D60CCE">
              <w:rPr>
                <w:rFonts w:ascii="Century Gothic" w:hAnsi="Century Gothic" w:cs="Tahoma"/>
                <w:bCs/>
                <w:color w:val="000000"/>
              </w:rPr>
              <w:t xml:space="preserve">Learners will explore the reactivity and extraction of metals. Metals are a finite resource that are extracted from the Earth using a variety of methods that learners will study in more detail such as displacement, electrolysis and mining. Learners will then appreciate the energy required to extract metals, and the scarcity of some ores, and so realise the value of </w:t>
            </w:r>
            <w:r w:rsidRPr="00D60CCE">
              <w:rPr>
                <w:rFonts w:ascii="Century Gothic" w:hAnsi="Century Gothic" w:cs="Tahoma"/>
                <w:bCs/>
                <w:color w:val="000000"/>
              </w:rPr>
              <w:lastRenderedPageBreak/>
              <w:t xml:space="preserve">preventing corrosion of extracted metals, and recycling these where possible to preserve valuable resources. </w:t>
            </w:r>
          </w:p>
        </w:tc>
        <w:tc>
          <w:tcPr>
            <w:tcW w:w="1843" w:type="dxa"/>
          </w:tcPr>
          <w:p w14:paraId="7A1D7B80" w14:textId="0CB8EBEF" w:rsidR="00671B91" w:rsidRPr="00D60CCE" w:rsidRDefault="00671B91" w:rsidP="00671B91">
            <w:pPr>
              <w:rPr>
                <w:rFonts w:ascii="Century Gothic" w:hAnsi="Century Gothic"/>
                <w:b/>
              </w:rPr>
            </w:pPr>
            <w:r w:rsidRPr="00D60CCE">
              <w:rPr>
                <w:rFonts w:ascii="Century Gothic" w:hAnsi="Century Gothic" w:cs="Calibri"/>
                <w:b/>
              </w:rPr>
              <w:lastRenderedPageBreak/>
              <w:t xml:space="preserve">Infection and Response – </w:t>
            </w:r>
            <w:r w:rsidRPr="00D60CCE">
              <w:rPr>
                <w:rFonts w:ascii="Century Gothic" w:hAnsi="Century Gothic" w:cs="Calibri"/>
              </w:rPr>
              <w:t xml:space="preserve">Learners will study communicable diseases and non-communicable diseases and their associated risk factors. Learners will study examples of communicable diseases, methods of transmission, treatments, the immune </w:t>
            </w:r>
            <w:r w:rsidRPr="00D60CCE">
              <w:rPr>
                <w:rFonts w:ascii="Century Gothic" w:hAnsi="Century Gothic" w:cs="Calibri"/>
              </w:rPr>
              <w:lastRenderedPageBreak/>
              <w:t xml:space="preserve">response and the function of vaccination are all covered, as are the process of drug development and correlation and causation with risk factors and non-communicable diseases. </w:t>
            </w:r>
          </w:p>
          <w:p w14:paraId="35CD8F41" w14:textId="239BEF52" w:rsidR="00671B91" w:rsidRPr="00D60CCE" w:rsidRDefault="00671B91" w:rsidP="00671B91">
            <w:pPr>
              <w:rPr>
                <w:rFonts w:ascii="Century Gothic" w:hAnsi="Century Gothic" w:cs="Calibri"/>
                <w:bCs/>
                <w:color w:val="000000"/>
              </w:rPr>
            </w:pPr>
            <w:r w:rsidRPr="00D60CCE">
              <w:rPr>
                <w:rFonts w:ascii="Century Gothic" w:hAnsi="Century Gothic"/>
                <w:b/>
              </w:rPr>
              <w:t xml:space="preserve">Quantitative Chemistry – </w:t>
            </w:r>
            <w:r w:rsidRPr="00D60CCE">
              <w:rPr>
                <w:rFonts w:ascii="Century Gothic" w:hAnsi="Century Gothic"/>
              </w:rPr>
              <w:t xml:space="preserve">Learners will study key ideas about quantitative chemistry, including the mole and reacting masses calculations. It </w:t>
            </w:r>
            <w:r w:rsidRPr="00D60CCE">
              <w:rPr>
                <w:rFonts w:ascii="Century Gothic" w:hAnsi="Century Gothic"/>
              </w:rPr>
              <w:lastRenderedPageBreak/>
              <w:t>features a review of relative formula mass and percentage by mass and concentration. The unit also applies quantitative content to acids, alkalis and neutralisation reactions.</w:t>
            </w:r>
          </w:p>
        </w:tc>
        <w:tc>
          <w:tcPr>
            <w:tcW w:w="1995" w:type="dxa"/>
          </w:tcPr>
          <w:p w14:paraId="0BB02FD7" w14:textId="77777777" w:rsidR="00671B91" w:rsidRPr="00D60CCE" w:rsidRDefault="00671B91" w:rsidP="00671B91">
            <w:pPr>
              <w:rPr>
                <w:rFonts w:ascii="Century Gothic" w:hAnsi="Century Gothic" w:cs="Calibri"/>
              </w:rPr>
            </w:pPr>
            <w:r w:rsidRPr="00D60CCE">
              <w:rPr>
                <w:rFonts w:ascii="Century Gothic" w:hAnsi="Century Gothic" w:cs="Calibri"/>
                <w:b/>
                <w:bCs/>
                <w:color w:val="000000"/>
              </w:rPr>
              <w:lastRenderedPageBreak/>
              <w:t>Home Electricity -</w:t>
            </w:r>
            <w:r w:rsidRPr="00D60CCE">
              <w:rPr>
                <w:rFonts w:ascii="Century Gothic" w:hAnsi="Century Gothic"/>
                <w:b/>
              </w:rPr>
              <w:t xml:space="preserve"> </w:t>
            </w:r>
            <w:r w:rsidRPr="00D60CCE">
              <w:rPr>
                <w:rFonts w:ascii="Century Gothic" w:hAnsi="Century Gothic" w:cs="Calibri"/>
              </w:rPr>
              <w:t>Learners will use a range of investigative</w:t>
            </w:r>
            <w:r w:rsidRPr="00D60CCE">
              <w:rPr>
                <w:rFonts w:ascii="Century Gothic" w:hAnsi="Century Gothic" w:cs="Calibri"/>
                <w:b/>
              </w:rPr>
              <w:t xml:space="preserve"> </w:t>
            </w:r>
            <w:r w:rsidRPr="00D60CCE">
              <w:rPr>
                <w:rFonts w:ascii="Century Gothic" w:hAnsi="Century Gothic" w:cs="Calibri"/>
              </w:rPr>
              <w:t>techniques to understand</w:t>
            </w:r>
            <w:r w:rsidRPr="00D60CCE">
              <w:rPr>
                <w:rFonts w:ascii="Century Gothic" w:hAnsi="Century Gothic" w:cs="Calibri"/>
                <w:b/>
              </w:rPr>
              <w:t xml:space="preserve"> </w:t>
            </w:r>
            <w:r w:rsidRPr="00D60CCE">
              <w:rPr>
                <w:rFonts w:ascii="Century Gothic" w:hAnsi="Century Gothic" w:cs="Calibri"/>
              </w:rPr>
              <w:t xml:space="preserve">how reaction energy may be transferred to or from the surroundings and apply this to the efficiency of electrical appliances. </w:t>
            </w:r>
          </w:p>
          <w:p w14:paraId="5EB85150" w14:textId="77777777" w:rsidR="00671B91" w:rsidRPr="00D60CCE" w:rsidRDefault="00671B91" w:rsidP="00671B91">
            <w:pPr>
              <w:rPr>
                <w:rFonts w:ascii="Century Gothic" w:hAnsi="Century Gothic" w:cs="Calibri"/>
              </w:rPr>
            </w:pPr>
            <w:r w:rsidRPr="00D60CCE">
              <w:rPr>
                <w:rFonts w:ascii="Century Gothic" w:hAnsi="Century Gothic" w:cs="Tahoma"/>
                <w:b/>
                <w:bCs/>
                <w:color w:val="000000"/>
              </w:rPr>
              <w:t>Energy Changes –</w:t>
            </w:r>
            <w:r w:rsidRPr="00D60CCE">
              <w:rPr>
                <w:rFonts w:ascii="Century Gothic" w:hAnsi="Century Gothic" w:cs="Tahoma"/>
                <w:bCs/>
                <w:color w:val="000000"/>
              </w:rPr>
              <w:t xml:space="preserve"> </w:t>
            </w:r>
            <w:r w:rsidRPr="00D60CCE">
              <w:rPr>
                <w:rFonts w:ascii="Century Gothic" w:hAnsi="Century Gothic" w:cs="Calibri"/>
              </w:rPr>
              <w:t xml:space="preserve">Learners will investigate energy changes in chemical reactions, </w:t>
            </w:r>
            <w:r w:rsidRPr="00D60CCE">
              <w:rPr>
                <w:rFonts w:ascii="Century Gothic" w:hAnsi="Century Gothic" w:cs="Calibri"/>
              </w:rPr>
              <w:lastRenderedPageBreak/>
              <w:t xml:space="preserve">including exothermic and endothermic reactions. Learners will also study quantitative topics of percentage yield and atom economy, and the chemistry of cells, batteries and fuel cells. </w:t>
            </w:r>
          </w:p>
          <w:p w14:paraId="7DD24007" w14:textId="33B43682" w:rsidR="00671B91" w:rsidRPr="00D60CCE" w:rsidRDefault="00671B91" w:rsidP="00671B91">
            <w:pPr>
              <w:spacing w:after="0" w:line="240" w:lineRule="auto"/>
              <w:rPr>
                <w:rFonts w:ascii="Century Gothic" w:hAnsi="Century Gothic" w:cs="Calibri"/>
                <w:bCs/>
                <w:color w:val="000000"/>
              </w:rPr>
            </w:pPr>
          </w:p>
        </w:tc>
        <w:tc>
          <w:tcPr>
            <w:tcW w:w="2199" w:type="dxa"/>
          </w:tcPr>
          <w:p w14:paraId="6C8015AE" w14:textId="5CE7D5F1" w:rsidR="00671B91" w:rsidRPr="00D60CCE" w:rsidRDefault="00427F57" w:rsidP="00671B91">
            <w:pPr>
              <w:pStyle w:val="NoSpacing"/>
              <w:rPr>
                <w:rFonts w:ascii="Century Gothic" w:hAnsi="Century Gothic" w:cs="Calibri"/>
                <w:b/>
                <w:bCs/>
              </w:rPr>
            </w:pPr>
            <w:r w:rsidRPr="00D60CCE">
              <w:rPr>
                <w:rFonts w:ascii="Century Gothic" w:hAnsi="Century Gothic" w:cs="Calibri"/>
                <w:b/>
                <w:bCs/>
              </w:rPr>
              <w:lastRenderedPageBreak/>
              <w:t xml:space="preserve">Atomic Structure - </w:t>
            </w:r>
          </w:p>
          <w:p w14:paraId="2FFE5A95" w14:textId="0817ECFE" w:rsidR="00671B91" w:rsidRPr="00D60CCE" w:rsidRDefault="00427F57" w:rsidP="00671B91">
            <w:pPr>
              <w:pStyle w:val="NoSpacing"/>
              <w:rPr>
                <w:rFonts w:ascii="Century Gothic" w:hAnsi="Century Gothic" w:cs="Calibri"/>
              </w:rPr>
            </w:pPr>
            <w:r w:rsidRPr="00D60CCE">
              <w:rPr>
                <w:rFonts w:ascii="Century Gothic" w:hAnsi="Century Gothic" w:cs="Calibri"/>
              </w:rPr>
              <w:t xml:space="preserve">Students will look at what radioactivity is, and the different types of radiation that can be emitted. They will then use their knowledge of the types of radiation to write nuclear equations, consolidating their understanding of the properties of each type. From here they will look at half-life, before finally looking at the different uses of radioactivity, as well as hazards and precautions of using </w:t>
            </w:r>
            <w:r w:rsidRPr="00D60CCE">
              <w:rPr>
                <w:rFonts w:ascii="Century Gothic" w:hAnsi="Century Gothic" w:cs="Calibri"/>
              </w:rPr>
              <w:lastRenderedPageBreak/>
              <w:t>radioactivity. Triple students can have further practice of writing nuclear equations from stages in the reaction. This lesson also introduces nuclear fusion, but this will be revisited in the Y11 units of space and the formation of stars.</w:t>
            </w:r>
          </w:p>
          <w:p w14:paraId="4771D382" w14:textId="77777777" w:rsidR="00427F57" w:rsidRPr="00D60CCE" w:rsidRDefault="00427F57" w:rsidP="00671B91">
            <w:pPr>
              <w:pStyle w:val="NoSpacing"/>
              <w:rPr>
                <w:rFonts w:ascii="Century Gothic" w:hAnsi="Century Gothic" w:cs="Calibri"/>
                <w:b/>
                <w:bCs/>
              </w:rPr>
            </w:pPr>
          </w:p>
          <w:p w14:paraId="4475DED0" w14:textId="08CCB311" w:rsidR="00671B91" w:rsidRPr="00D60CCE" w:rsidRDefault="00671B91" w:rsidP="00671B91">
            <w:pPr>
              <w:pStyle w:val="NoSpacing"/>
              <w:rPr>
                <w:rFonts w:ascii="Century Gothic" w:hAnsi="Century Gothic"/>
              </w:rPr>
            </w:pPr>
            <w:r w:rsidRPr="00D60CCE">
              <w:rPr>
                <w:rFonts w:ascii="Century Gothic" w:hAnsi="Century Gothic" w:cs="Calibri"/>
                <w:b/>
                <w:bCs/>
              </w:rPr>
              <w:t>Ecology</w:t>
            </w:r>
            <w:r w:rsidRPr="00D60CCE">
              <w:rPr>
                <w:rFonts w:ascii="Century Gothic" w:hAnsi="Century Gothic" w:cs="Calibri"/>
              </w:rPr>
              <w:t xml:space="preserve"> –</w:t>
            </w:r>
          </w:p>
          <w:p w14:paraId="02988092" w14:textId="34CEE5A5" w:rsidR="00671B91" w:rsidRPr="00D60CCE" w:rsidRDefault="00671B91" w:rsidP="00671B91">
            <w:pPr>
              <w:rPr>
                <w:rFonts w:ascii="Century Gothic" w:hAnsi="Century Gothic" w:cs="Calibri"/>
                <w:bCs/>
                <w:color w:val="000000"/>
              </w:rPr>
            </w:pPr>
            <w:r w:rsidRPr="00D60CCE">
              <w:rPr>
                <w:rFonts w:ascii="Century Gothic" w:hAnsi="Century Gothic" w:cs="Calibri"/>
              </w:rPr>
              <w:t xml:space="preserve">Students then move onto the levels of organisation in an ecosystem before looking at the different biotic and abiotic factors that can affect a community. From there they will look at adaptations and how different </w:t>
            </w:r>
            <w:r w:rsidRPr="00D60CCE">
              <w:rPr>
                <w:rFonts w:ascii="Century Gothic" w:hAnsi="Century Gothic" w:cs="Calibri"/>
              </w:rPr>
              <w:lastRenderedPageBreak/>
              <w:t xml:space="preserve">organisms are suited to deal with the biotic and abiotic factors in their environment. Building on understanding of adaptations leads into food chains and food webs, where students look at the interactions between plants and animals in more detail, leading into predator-prey relationships, where students will look at how these relationships run in cycles and the adaptations that different predators and prey have. From here, students will </w:t>
            </w:r>
            <w:r w:rsidRPr="00D60CCE">
              <w:rPr>
                <w:rFonts w:ascii="Century Gothic" w:hAnsi="Century Gothic" w:cs="Calibri"/>
              </w:rPr>
              <w:lastRenderedPageBreak/>
              <w:t xml:space="preserve">carry out the sampling required practical, with a dedicated lesson afterwards that focuses on the maths skill of estimating a population size. </w:t>
            </w:r>
            <w:r w:rsidR="00FB408C" w:rsidRPr="00D60CCE">
              <w:rPr>
                <w:rFonts w:ascii="Century Gothic" w:hAnsi="Century Gothic" w:cs="Calibri"/>
              </w:rPr>
              <w:t xml:space="preserve">Learners will also study some of the key ecological cycling processes of decay, the carbon cycle and the water cycle, and particularly the role of plants in these. </w:t>
            </w:r>
            <w:r w:rsidR="00FB408C" w:rsidRPr="00D60CCE">
              <w:rPr>
                <w:rFonts w:ascii="Century Gothic" w:hAnsi="Century Gothic"/>
                <w:b/>
              </w:rPr>
              <w:t xml:space="preserve"> </w:t>
            </w:r>
          </w:p>
        </w:tc>
      </w:tr>
      <w:tr w:rsidR="00671B91" w:rsidRPr="00D60CCE" w14:paraId="27D65639" w14:textId="77777777" w:rsidTr="007E0E54">
        <w:tc>
          <w:tcPr>
            <w:tcW w:w="1980" w:type="dxa"/>
          </w:tcPr>
          <w:p w14:paraId="3AE1A6BD" w14:textId="77777777" w:rsidR="00671B91" w:rsidRPr="00D60CCE" w:rsidRDefault="00671B91" w:rsidP="00671B91">
            <w:pPr>
              <w:spacing w:after="0" w:line="240" w:lineRule="auto"/>
              <w:rPr>
                <w:rFonts w:ascii="Calibri" w:hAnsi="Calibri" w:cs="Calibri"/>
                <w:b/>
                <w:bCs/>
                <w:color w:val="000000"/>
              </w:rPr>
            </w:pPr>
            <w:r w:rsidRPr="00D60CCE">
              <w:rPr>
                <w:rFonts w:ascii="Calibri" w:hAnsi="Calibri" w:cs="Calibri"/>
                <w:b/>
                <w:bCs/>
                <w:color w:val="000000"/>
              </w:rPr>
              <w:lastRenderedPageBreak/>
              <w:t>Skills</w:t>
            </w:r>
          </w:p>
        </w:tc>
        <w:tc>
          <w:tcPr>
            <w:tcW w:w="13408" w:type="dxa"/>
            <w:gridSpan w:val="6"/>
          </w:tcPr>
          <w:p w14:paraId="7DC66A29" w14:textId="77777777" w:rsidR="00671B91" w:rsidRPr="00D60CCE" w:rsidRDefault="00671B91" w:rsidP="00671B91">
            <w:pPr>
              <w:spacing w:after="0" w:line="240" w:lineRule="auto"/>
              <w:rPr>
                <w:rFonts w:ascii="Century Gothic" w:hAnsi="Century Gothic" w:cs="Tahoma"/>
                <w:b/>
                <w:bCs/>
                <w:color w:val="000000"/>
              </w:rPr>
            </w:pPr>
            <w:r w:rsidRPr="00D60CCE">
              <w:rPr>
                <w:rFonts w:ascii="Century Gothic" w:hAnsi="Century Gothic" w:cs="Tahoma"/>
                <w:b/>
                <w:bCs/>
                <w:color w:val="000000"/>
              </w:rPr>
              <w:t xml:space="preserve">The following skills will be developed throughout the whole of year 9 and will enable learners to build a deep understanding of science: </w:t>
            </w:r>
          </w:p>
          <w:p w14:paraId="3FE3AE5D" w14:textId="77777777" w:rsidR="00671B91" w:rsidRPr="00D60CCE" w:rsidRDefault="00671B91" w:rsidP="00671B91">
            <w:pPr>
              <w:spacing w:after="0" w:line="240" w:lineRule="auto"/>
              <w:rPr>
                <w:rFonts w:ascii="Century Gothic" w:hAnsi="Century Gothic" w:cs="Tahoma"/>
                <w:b/>
                <w:bCs/>
                <w:color w:val="000000"/>
              </w:rPr>
            </w:pPr>
            <w:r w:rsidRPr="00D60CCE">
              <w:rPr>
                <w:rFonts w:ascii="Century Gothic" w:hAnsi="Century Gothic" w:cs="Tahoma"/>
                <w:b/>
                <w:bCs/>
                <w:color w:val="000000"/>
              </w:rPr>
              <w:t>Scientific attitudes:</w:t>
            </w:r>
          </w:p>
          <w:p w14:paraId="1CA50F36"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 pay attention to objectivity and concern for accuracy, precision, repeatability and reproducibility</w:t>
            </w:r>
          </w:p>
          <w:p w14:paraId="034553E7"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 understand that scientific methods and theories develop as earlier explanations are modified to take account of new evidence and ideas, together with the importance of publishing results and peer review</w:t>
            </w:r>
          </w:p>
          <w:p w14:paraId="15B06AC2"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 evaluate risks.</w:t>
            </w:r>
          </w:p>
          <w:p w14:paraId="2BFC63E8" w14:textId="77777777" w:rsidR="00671B91" w:rsidRPr="00D60CCE" w:rsidRDefault="00671B91" w:rsidP="00671B91">
            <w:pPr>
              <w:spacing w:after="0" w:line="240" w:lineRule="auto"/>
              <w:rPr>
                <w:rFonts w:ascii="Century Gothic" w:hAnsi="Century Gothic" w:cs="Tahoma"/>
                <w:bCs/>
                <w:color w:val="000000"/>
              </w:rPr>
            </w:pPr>
          </w:p>
          <w:p w14:paraId="0C917415" w14:textId="77777777" w:rsidR="00671B91" w:rsidRPr="00D60CCE" w:rsidRDefault="00671B91" w:rsidP="00671B91">
            <w:pPr>
              <w:spacing w:after="0" w:line="240" w:lineRule="auto"/>
              <w:rPr>
                <w:rFonts w:ascii="Century Gothic" w:hAnsi="Century Gothic" w:cs="Tahoma"/>
                <w:b/>
                <w:bCs/>
                <w:color w:val="000000"/>
              </w:rPr>
            </w:pPr>
            <w:r w:rsidRPr="00D60CCE">
              <w:rPr>
                <w:rFonts w:ascii="Century Gothic" w:hAnsi="Century Gothic" w:cs="Tahoma"/>
                <w:b/>
                <w:bCs/>
                <w:color w:val="000000"/>
              </w:rPr>
              <w:t>Experimental skills and investigations:</w:t>
            </w:r>
          </w:p>
          <w:p w14:paraId="431EF0F7"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lastRenderedPageBreak/>
              <w:t> ask questions and develop a line of enquiry based on observations of the real world, alongside prior knowledge and experience</w:t>
            </w:r>
          </w:p>
          <w:p w14:paraId="150F1B6F"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 make predictions using scientific knowledge and understanding</w:t>
            </w:r>
          </w:p>
          <w:p w14:paraId="7F9C33C8"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 select, plan and carry out the most appropriate types of scientific enquiries to test predictions, including identifying independent, dependent and control variables, where appropriate</w:t>
            </w:r>
          </w:p>
          <w:p w14:paraId="267B8448"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 use appropriate techniques, apparatus, and materials during fieldwork and laboratory work, paying attention to health and safety</w:t>
            </w:r>
          </w:p>
          <w:p w14:paraId="6B8E851C"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 make and record observations and measurements using a range of methods for different investigations; and evaluate the reliability of methods and suggest possible improvements</w:t>
            </w:r>
          </w:p>
          <w:p w14:paraId="559583E6"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 apply sampling techniques.</w:t>
            </w:r>
          </w:p>
          <w:p w14:paraId="63F1EACA" w14:textId="77777777" w:rsidR="00671B91" w:rsidRPr="00D60CCE" w:rsidRDefault="00671B91" w:rsidP="00671B91">
            <w:pPr>
              <w:spacing w:after="0" w:line="240" w:lineRule="auto"/>
              <w:rPr>
                <w:rFonts w:ascii="Century Gothic" w:hAnsi="Century Gothic" w:cs="Tahoma"/>
                <w:bCs/>
                <w:color w:val="000000"/>
              </w:rPr>
            </w:pPr>
          </w:p>
          <w:p w14:paraId="52C93839" w14:textId="77777777" w:rsidR="00671B91" w:rsidRPr="00D60CCE" w:rsidRDefault="00671B91" w:rsidP="00671B91">
            <w:pPr>
              <w:spacing w:after="0" w:line="240" w:lineRule="auto"/>
              <w:rPr>
                <w:rFonts w:ascii="Century Gothic" w:hAnsi="Century Gothic" w:cs="Tahoma"/>
                <w:b/>
                <w:bCs/>
                <w:color w:val="000000"/>
              </w:rPr>
            </w:pPr>
            <w:r w:rsidRPr="00D60CCE">
              <w:rPr>
                <w:rFonts w:ascii="Century Gothic" w:hAnsi="Century Gothic" w:cs="Tahoma"/>
                <w:b/>
                <w:bCs/>
                <w:color w:val="000000"/>
              </w:rPr>
              <w:t>Analysis and evaluation:</w:t>
            </w:r>
          </w:p>
          <w:p w14:paraId="0C7ED1AE"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 apply mathematical concepts and calculate results</w:t>
            </w:r>
          </w:p>
          <w:p w14:paraId="783EB40F"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 present observations and data using appropriate methods, including tables and graphs</w:t>
            </w:r>
          </w:p>
          <w:p w14:paraId="188E97F7"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 interpret observations and data, including identifying patterns and using observations, measurements and data to draw conclusions</w:t>
            </w:r>
          </w:p>
          <w:p w14:paraId="3168A397"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 present reasoned explanations, including explaining data in relation to predictions and hypotheses</w:t>
            </w:r>
          </w:p>
          <w:p w14:paraId="1658AEED"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 evaluate data, showing awareness of potential sources of random and systematic error</w:t>
            </w:r>
          </w:p>
          <w:p w14:paraId="633B701E"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 xml:space="preserve"> identify further questions arising from their results. </w:t>
            </w:r>
          </w:p>
          <w:p w14:paraId="7A492DAD" w14:textId="77777777" w:rsidR="00671B91" w:rsidRPr="00D60CCE" w:rsidRDefault="00671B91" w:rsidP="00671B91">
            <w:pPr>
              <w:spacing w:after="0" w:line="240" w:lineRule="auto"/>
              <w:rPr>
                <w:rFonts w:ascii="Century Gothic" w:hAnsi="Century Gothic" w:cs="Tahoma"/>
                <w:b/>
                <w:bCs/>
                <w:color w:val="000000"/>
              </w:rPr>
            </w:pPr>
          </w:p>
          <w:p w14:paraId="646A2C93" w14:textId="77777777" w:rsidR="00671B91" w:rsidRPr="00D60CCE" w:rsidRDefault="00671B91" w:rsidP="00671B91">
            <w:pPr>
              <w:spacing w:after="0" w:line="240" w:lineRule="auto"/>
              <w:rPr>
                <w:rFonts w:ascii="Century Gothic" w:hAnsi="Century Gothic" w:cs="Tahoma"/>
                <w:b/>
                <w:bCs/>
                <w:color w:val="000000"/>
              </w:rPr>
            </w:pPr>
            <w:r w:rsidRPr="00D60CCE">
              <w:rPr>
                <w:rFonts w:ascii="Century Gothic" w:hAnsi="Century Gothic" w:cs="Tahoma"/>
                <w:b/>
                <w:bCs/>
                <w:color w:val="000000"/>
              </w:rPr>
              <w:t>Measurement:</w:t>
            </w:r>
          </w:p>
          <w:p w14:paraId="583CDE70"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 understand and use SI units and IUPAC (International Union of Pure and Applied</w:t>
            </w:r>
          </w:p>
          <w:p w14:paraId="322E6321"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Chemistry) chemical nomenclature</w:t>
            </w:r>
          </w:p>
          <w:p w14:paraId="389DA6CE"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 use and derive simple equations and carry out appropriate calculations</w:t>
            </w:r>
          </w:p>
          <w:p w14:paraId="1315010F" w14:textId="77777777" w:rsidR="00671B91" w:rsidRPr="00D60CCE" w:rsidRDefault="00671B91" w:rsidP="00671B91">
            <w:pPr>
              <w:spacing w:after="0" w:line="240" w:lineRule="auto"/>
              <w:rPr>
                <w:rFonts w:ascii="Century Gothic" w:hAnsi="Century Gothic" w:cs="Tahoma"/>
                <w:bCs/>
                <w:color w:val="000000"/>
              </w:rPr>
            </w:pPr>
            <w:r w:rsidRPr="00D60CCE">
              <w:rPr>
                <w:rFonts w:ascii="Century Gothic" w:hAnsi="Century Gothic" w:cs="Tahoma"/>
                <w:bCs/>
                <w:color w:val="000000"/>
              </w:rPr>
              <w:t> undertake basic data analysis including simple statistical techniques.</w:t>
            </w:r>
          </w:p>
        </w:tc>
      </w:tr>
      <w:tr w:rsidR="00671B91" w:rsidRPr="00D60CCE" w14:paraId="3DE1D641" w14:textId="77777777" w:rsidTr="007E0E54">
        <w:tc>
          <w:tcPr>
            <w:tcW w:w="1980" w:type="dxa"/>
          </w:tcPr>
          <w:p w14:paraId="64B67DE7" w14:textId="77777777" w:rsidR="00671B91" w:rsidRPr="00D60CCE" w:rsidRDefault="00671B91" w:rsidP="00671B91">
            <w:pPr>
              <w:spacing w:after="0" w:line="240" w:lineRule="auto"/>
              <w:rPr>
                <w:rFonts w:ascii="Calibri" w:hAnsi="Calibri" w:cs="Calibri"/>
                <w:b/>
                <w:bCs/>
                <w:color w:val="000000"/>
              </w:rPr>
            </w:pPr>
            <w:r w:rsidRPr="00D60CCE">
              <w:rPr>
                <w:rFonts w:ascii="Calibri" w:hAnsi="Calibri" w:cs="Calibri"/>
                <w:b/>
                <w:bCs/>
                <w:color w:val="000000"/>
              </w:rPr>
              <w:lastRenderedPageBreak/>
              <w:t>Assessments</w:t>
            </w:r>
          </w:p>
        </w:tc>
        <w:tc>
          <w:tcPr>
            <w:tcW w:w="2835" w:type="dxa"/>
          </w:tcPr>
          <w:p w14:paraId="480905C5" w14:textId="77777777" w:rsidR="00671B91" w:rsidRPr="00D60CCE" w:rsidRDefault="00671B91" w:rsidP="00671B91">
            <w:pPr>
              <w:spacing w:after="0" w:line="240" w:lineRule="auto"/>
              <w:rPr>
                <w:rFonts w:ascii="Century Gothic" w:hAnsi="Century Gothic" w:cs="Calibri"/>
                <w:bCs/>
                <w:color w:val="000000"/>
              </w:rPr>
            </w:pPr>
            <w:r w:rsidRPr="00D60CCE">
              <w:rPr>
                <w:rFonts w:ascii="Century Gothic" w:hAnsi="Century Gothic" w:cs="Calibri"/>
                <w:bCs/>
                <w:color w:val="000000"/>
              </w:rPr>
              <w:t>End of half term tests</w:t>
            </w:r>
          </w:p>
          <w:p w14:paraId="1D2F4444" w14:textId="77777777" w:rsidR="00671B91" w:rsidRPr="00D60CCE" w:rsidRDefault="00671B91" w:rsidP="00671B91">
            <w:pPr>
              <w:spacing w:after="0" w:line="240" w:lineRule="auto"/>
              <w:rPr>
                <w:rFonts w:ascii="Calibri" w:hAnsi="Calibri" w:cs="Calibri"/>
                <w:bCs/>
                <w:color w:val="000000"/>
              </w:rPr>
            </w:pPr>
          </w:p>
        </w:tc>
        <w:tc>
          <w:tcPr>
            <w:tcW w:w="2126" w:type="dxa"/>
          </w:tcPr>
          <w:p w14:paraId="395A952F" w14:textId="77777777" w:rsidR="00671B91" w:rsidRPr="00D60CCE" w:rsidRDefault="00671B91" w:rsidP="00671B91">
            <w:pPr>
              <w:spacing w:after="0" w:line="240" w:lineRule="auto"/>
              <w:rPr>
                <w:rFonts w:ascii="Calibri" w:hAnsi="Calibri" w:cs="Calibri"/>
                <w:bCs/>
                <w:color w:val="000000"/>
              </w:rPr>
            </w:pPr>
            <w:r w:rsidRPr="00D60CCE">
              <w:rPr>
                <w:rFonts w:ascii="Century Gothic" w:hAnsi="Century Gothic" w:cs="Calibri"/>
                <w:bCs/>
                <w:color w:val="000000"/>
              </w:rPr>
              <w:t xml:space="preserve">End of half term tests </w:t>
            </w:r>
          </w:p>
        </w:tc>
        <w:tc>
          <w:tcPr>
            <w:tcW w:w="2410" w:type="dxa"/>
          </w:tcPr>
          <w:p w14:paraId="6319F38E" w14:textId="77777777" w:rsidR="00671B91" w:rsidRPr="00D60CCE" w:rsidRDefault="00671B91" w:rsidP="00671B91">
            <w:pPr>
              <w:spacing w:after="0" w:line="240" w:lineRule="auto"/>
              <w:rPr>
                <w:rFonts w:ascii="Century Gothic" w:hAnsi="Century Gothic" w:cs="Calibri"/>
                <w:bCs/>
                <w:color w:val="000000"/>
              </w:rPr>
            </w:pPr>
            <w:r w:rsidRPr="00D60CCE">
              <w:rPr>
                <w:rFonts w:ascii="Century Gothic" w:hAnsi="Century Gothic" w:cs="Calibri"/>
                <w:bCs/>
                <w:color w:val="000000"/>
              </w:rPr>
              <w:t xml:space="preserve">End of half term tests </w:t>
            </w:r>
          </w:p>
          <w:p w14:paraId="75A1735D" w14:textId="77777777" w:rsidR="00671B91" w:rsidRPr="00D60CCE" w:rsidRDefault="00671B91" w:rsidP="00671B91">
            <w:pPr>
              <w:spacing w:after="0" w:line="240" w:lineRule="auto"/>
              <w:rPr>
                <w:rFonts w:ascii="Calibri" w:hAnsi="Calibri" w:cs="Calibri"/>
                <w:bCs/>
                <w:color w:val="000000"/>
              </w:rPr>
            </w:pPr>
          </w:p>
        </w:tc>
        <w:tc>
          <w:tcPr>
            <w:tcW w:w="1843" w:type="dxa"/>
          </w:tcPr>
          <w:p w14:paraId="4DD39C63" w14:textId="77777777" w:rsidR="00671B91" w:rsidRPr="00D60CCE" w:rsidRDefault="00671B91" w:rsidP="00671B91">
            <w:pPr>
              <w:spacing w:after="0" w:line="240" w:lineRule="auto"/>
              <w:rPr>
                <w:rFonts w:ascii="Century Gothic" w:hAnsi="Century Gothic" w:cs="Calibri"/>
                <w:bCs/>
                <w:color w:val="000000"/>
              </w:rPr>
            </w:pPr>
            <w:r w:rsidRPr="00D60CCE">
              <w:rPr>
                <w:rFonts w:ascii="Century Gothic" w:hAnsi="Century Gothic" w:cs="Calibri"/>
                <w:bCs/>
                <w:color w:val="000000"/>
              </w:rPr>
              <w:t xml:space="preserve">End of half term tests </w:t>
            </w:r>
          </w:p>
          <w:p w14:paraId="4A23677E" w14:textId="77777777" w:rsidR="00671B91" w:rsidRPr="00D60CCE" w:rsidRDefault="00671B91" w:rsidP="00671B91">
            <w:pPr>
              <w:spacing w:after="0" w:line="240" w:lineRule="auto"/>
              <w:rPr>
                <w:rFonts w:ascii="Calibri" w:hAnsi="Calibri" w:cs="Calibri"/>
                <w:bCs/>
                <w:color w:val="000000"/>
              </w:rPr>
            </w:pPr>
          </w:p>
        </w:tc>
        <w:tc>
          <w:tcPr>
            <w:tcW w:w="1995" w:type="dxa"/>
          </w:tcPr>
          <w:p w14:paraId="4B462B55" w14:textId="77777777" w:rsidR="00671B91" w:rsidRPr="00D60CCE" w:rsidRDefault="00671B91" w:rsidP="00671B91">
            <w:pPr>
              <w:spacing w:after="0" w:line="240" w:lineRule="auto"/>
              <w:rPr>
                <w:rFonts w:ascii="Calibri" w:hAnsi="Calibri" w:cs="Calibri"/>
                <w:bCs/>
                <w:color w:val="000000"/>
              </w:rPr>
            </w:pPr>
            <w:r w:rsidRPr="00D60CCE">
              <w:rPr>
                <w:rFonts w:ascii="Century Gothic" w:hAnsi="Century Gothic" w:cs="Calibri"/>
                <w:bCs/>
                <w:color w:val="000000"/>
              </w:rPr>
              <w:t xml:space="preserve">End of half term tests </w:t>
            </w:r>
          </w:p>
        </w:tc>
        <w:tc>
          <w:tcPr>
            <w:tcW w:w="2199" w:type="dxa"/>
          </w:tcPr>
          <w:p w14:paraId="5DF93E8F" w14:textId="77777777" w:rsidR="00671B91" w:rsidRPr="00D60CCE" w:rsidRDefault="00671B91" w:rsidP="00671B91">
            <w:pPr>
              <w:spacing w:after="0" w:line="240" w:lineRule="auto"/>
              <w:rPr>
                <w:rFonts w:ascii="Calibri" w:hAnsi="Calibri" w:cs="Calibri"/>
                <w:bCs/>
                <w:color w:val="000000"/>
              </w:rPr>
            </w:pPr>
            <w:r w:rsidRPr="00D60CCE">
              <w:rPr>
                <w:rFonts w:ascii="Century Gothic" w:hAnsi="Century Gothic" w:cs="Calibri"/>
                <w:bCs/>
                <w:color w:val="000000"/>
              </w:rPr>
              <w:t xml:space="preserve">End of half term tests </w:t>
            </w:r>
          </w:p>
        </w:tc>
      </w:tr>
      <w:tr w:rsidR="00671B91" w:rsidRPr="00D60CCE" w14:paraId="7AB8A74E" w14:textId="77777777" w:rsidTr="007E0E54">
        <w:tc>
          <w:tcPr>
            <w:tcW w:w="1980" w:type="dxa"/>
          </w:tcPr>
          <w:p w14:paraId="1BE56171" w14:textId="77777777" w:rsidR="00671B91" w:rsidRPr="00D60CCE" w:rsidRDefault="00671B91" w:rsidP="00671B91">
            <w:pPr>
              <w:spacing w:after="0" w:line="240" w:lineRule="auto"/>
              <w:rPr>
                <w:rFonts w:ascii="Calibri" w:hAnsi="Calibri" w:cs="Calibri"/>
                <w:b/>
                <w:bCs/>
                <w:color w:val="000000"/>
              </w:rPr>
            </w:pPr>
            <w:r w:rsidRPr="00D60CCE">
              <w:rPr>
                <w:rFonts w:ascii="Calibri" w:hAnsi="Calibri" w:cs="Calibri"/>
                <w:b/>
                <w:bCs/>
                <w:color w:val="000000"/>
              </w:rPr>
              <w:t>Enrichment</w:t>
            </w:r>
          </w:p>
          <w:p w14:paraId="49D8001F" w14:textId="77777777" w:rsidR="00671B91" w:rsidRPr="00D60CCE" w:rsidRDefault="00671B91" w:rsidP="00671B91">
            <w:pPr>
              <w:spacing w:after="0" w:line="240" w:lineRule="auto"/>
              <w:rPr>
                <w:rFonts w:ascii="Calibri" w:hAnsi="Calibri" w:cs="Calibri"/>
                <w:b/>
                <w:bCs/>
                <w:color w:val="000000"/>
              </w:rPr>
            </w:pPr>
          </w:p>
        </w:tc>
        <w:tc>
          <w:tcPr>
            <w:tcW w:w="13408" w:type="dxa"/>
            <w:gridSpan w:val="6"/>
          </w:tcPr>
          <w:p w14:paraId="7E897774" w14:textId="77777777" w:rsidR="00671B91" w:rsidRPr="00D60CCE" w:rsidRDefault="00671B91" w:rsidP="00671B91">
            <w:pPr>
              <w:spacing w:after="0" w:line="240" w:lineRule="auto"/>
              <w:rPr>
                <w:rFonts w:ascii="Calibri" w:hAnsi="Calibri" w:cs="Calibri"/>
                <w:bCs/>
                <w:color w:val="000000"/>
              </w:rPr>
            </w:pPr>
            <w:r w:rsidRPr="00D60CCE">
              <w:rPr>
                <w:rFonts w:ascii="Calibri" w:hAnsi="Calibri" w:cs="Calibri"/>
                <w:bCs/>
                <w:color w:val="000000"/>
              </w:rPr>
              <w:t>Science in the Spotlight activities, STEM activities, British Science Week</w:t>
            </w:r>
          </w:p>
        </w:tc>
      </w:tr>
    </w:tbl>
    <w:p w14:paraId="18F75971" w14:textId="77777777" w:rsidR="00BD6726" w:rsidRPr="00D60CCE" w:rsidRDefault="00BD6726" w:rsidP="00893BFD">
      <w:pPr>
        <w:spacing w:after="0" w:line="240" w:lineRule="auto"/>
        <w:rPr>
          <w:rFonts w:ascii="Calibri" w:hAnsi="Calibri" w:cs="Calibri"/>
          <w:bCs/>
          <w:color w:val="000000"/>
        </w:rPr>
      </w:pPr>
    </w:p>
    <w:p w14:paraId="642F1280" w14:textId="77777777" w:rsidR="00BD6726" w:rsidRPr="00D60CCE" w:rsidRDefault="00BD6726" w:rsidP="00893BFD">
      <w:pPr>
        <w:spacing w:after="0" w:line="240" w:lineRule="auto"/>
        <w:rPr>
          <w:rFonts w:ascii="Calibri" w:hAnsi="Calibri" w:cs="Calibri"/>
          <w:bCs/>
          <w:color w:val="000000"/>
        </w:rPr>
      </w:pPr>
    </w:p>
    <w:p w14:paraId="7CE59927" w14:textId="77777777" w:rsidR="004A4B6D" w:rsidRPr="00D60CCE" w:rsidRDefault="004A4B6D" w:rsidP="00893BFD">
      <w:pPr>
        <w:spacing w:after="0" w:line="240" w:lineRule="auto"/>
        <w:rPr>
          <w:rFonts w:ascii="Calibri" w:hAnsi="Calibri" w:cs="Calibri"/>
          <w:bCs/>
          <w:color w:val="000000"/>
        </w:rPr>
      </w:pPr>
    </w:p>
    <w:sectPr w:rsidR="004A4B6D" w:rsidRPr="00D60CCE"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40D9" w14:textId="77777777" w:rsidR="004B7BF4" w:rsidRDefault="004B7BF4" w:rsidP="0047765C">
      <w:pPr>
        <w:spacing w:after="0" w:line="240" w:lineRule="auto"/>
      </w:pPr>
      <w:r>
        <w:separator/>
      </w:r>
    </w:p>
  </w:endnote>
  <w:endnote w:type="continuationSeparator" w:id="0">
    <w:p w14:paraId="302CD5CF" w14:textId="77777777"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773C" w14:textId="77777777"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750B" w14:textId="77777777" w:rsidR="004B7BF4" w:rsidRDefault="004B7BF4" w:rsidP="0047765C">
      <w:pPr>
        <w:spacing w:after="0" w:line="240" w:lineRule="auto"/>
      </w:pPr>
      <w:r>
        <w:separator/>
      </w:r>
    </w:p>
  </w:footnote>
  <w:footnote w:type="continuationSeparator" w:id="0">
    <w:p w14:paraId="7A4D2CFB" w14:textId="77777777"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7439" w14:textId="77777777"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2E058CE1" wp14:editId="25FA6D81">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14:paraId="616B883F" w14:textId="77777777"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25pt;height:215.2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8"/>
  </w:num>
  <w:num w:numId="4">
    <w:abstractNumId w:val="20"/>
  </w:num>
  <w:num w:numId="5">
    <w:abstractNumId w:val="7"/>
  </w:num>
  <w:num w:numId="6">
    <w:abstractNumId w:val="8"/>
  </w:num>
  <w:num w:numId="7">
    <w:abstractNumId w:val="16"/>
  </w:num>
  <w:num w:numId="8">
    <w:abstractNumId w:val="12"/>
  </w:num>
  <w:num w:numId="9">
    <w:abstractNumId w:val="3"/>
  </w:num>
  <w:num w:numId="10">
    <w:abstractNumId w:val="0"/>
  </w:num>
  <w:num w:numId="11">
    <w:abstractNumId w:val="11"/>
  </w:num>
  <w:num w:numId="12">
    <w:abstractNumId w:val="15"/>
  </w:num>
  <w:num w:numId="13">
    <w:abstractNumId w:val="13"/>
  </w:num>
  <w:num w:numId="14">
    <w:abstractNumId w:val="5"/>
  </w:num>
  <w:num w:numId="15">
    <w:abstractNumId w:val="2"/>
  </w:num>
  <w:num w:numId="16">
    <w:abstractNumId w:val="10"/>
  </w:num>
  <w:num w:numId="17">
    <w:abstractNumId w:val="9"/>
  </w:num>
  <w:num w:numId="18">
    <w:abstractNumId w:val="17"/>
  </w:num>
  <w:num w:numId="19">
    <w:abstractNumId w:val="19"/>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11108"/>
    <w:rsid w:val="000161A3"/>
    <w:rsid w:val="00020CCE"/>
    <w:rsid w:val="00030CAF"/>
    <w:rsid w:val="00032223"/>
    <w:rsid w:val="000400BB"/>
    <w:rsid w:val="00042531"/>
    <w:rsid w:val="0005049A"/>
    <w:rsid w:val="000636AA"/>
    <w:rsid w:val="000F38D7"/>
    <w:rsid w:val="001016C8"/>
    <w:rsid w:val="00105FE4"/>
    <w:rsid w:val="0011773B"/>
    <w:rsid w:val="00127BAD"/>
    <w:rsid w:val="00145601"/>
    <w:rsid w:val="00153181"/>
    <w:rsid w:val="001644CD"/>
    <w:rsid w:val="00170EA7"/>
    <w:rsid w:val="001908D3"/>
    <w:rsid w:val="001969D1"/>
    <w:rsid w:val="001B5652"/>
    <w:rsid w:val="001C462D"/>
    <w:rsid w:val="001C7DEB"/>
    <w:rsid w:val="001E0C58"/>
    <w:rsid w:val="001F1933"/>
    <w:rsid w:val="001F1F1F"/>
    <w:rsid w:val="001F3EDA"/>
    <w:rsid w:val="002172E8"/>
    <w:rsid w:val="0023423A"/>
    <w:rsid w:val="00235D12"/>
    <w:rsid w:val="002418EB"/>
    <w:rsid w:val="002443B5"/>
    <w:rsid w:val="00276BE6"/>
    <w:rsid w:val="00281902"/>
    <w:rsid w:val="00284018"/>
    <w:rsid w:val="00285774"/>
    <w:rsid w:val="002A3C8F"/>
    <w:rsid w:val="002A7C43"/>
    <w:rsid w:val="002B07CC"/>
    <w:rsid w:val="002B69AE"/>
    <w:rsid w:val="002C3811"/>
    <w:rsid w:val="002E788E"/>
    <w:rsid w:val="00304B61"/>
    <w:rsid w:val="00311FA6"/>
    <w:rsid w:val="0031434F"/>
    <w:rsid w:val="00320616"/>
    <w:rsid w:val="003538FE"/>
    <w:rsid w:val="00355EC5"/>
    <w:rsid w:val="003613BF"/>
    <w:rsid w:val="00372E9B"/>
    <w:rsid w:val="00383B35"/>
    <w:rsid w:val="00397C0F"/>
    <w:rsid w:val="003A017B"/>
    <w:rsid w:val="003A7E33"/>
    <w:rsid w:val="003C3B58"/>
    <w:rsid w:val="0040082C"/>
    <w:rsid w:val="00400C82"/>
    <w:rsid w:val="00421C58"/>
    <w:rsid w:val="00427F57"/>
    <w:rsid w:val="00450FDC"/>
    <w:rsid w:val="0045125B"/>
    <w:rsid w:val="0047269C"/>
    <w:rsid w:val="0047765C"/>
    <w:rsid w:val="004A4B6D"/>
    <w:rsid w:val="004B037E"/>
    <w:rsid w:val="004B7BF4"/>
    <w:rsid w:val="004E52FC"/>
    <w:rsid w:val="005131A6"/>
    <w:rsid w:val="00555197"/>
    <w:rsid w:val="00576408"/>
    <w:rsid w:val="0058029E"/>
    <w:rsid w:val="00584996"/>
    <w:rsid w:val="00587F4D"/>
    <w:rsid w:val="00593832"/>
    <w:rsid w:val="005947D1"/>
    <w:rsid w:val="005A0CCE"/>
    <w:rsid w:val="005A2962"/>
    <w:rsid w:val="005A4F89"/>
    <w:rsid w:val="005D537B"/>
    <w:rsid w:val="005D5C09"/>
    <w:rsid w:val="00657B0B"/>
    <w:rsid w:val="00670C64"/>
    <w:rsid w:val="00671B91"/>
    <w:rsid w:val="00673BAB"/>
    <w:rsid w:val="0069528A"/>
    <w:rsid w:val="006B2021"/>
    <w:rsid w:val="006C5CA4"/>
    <w:rsid w:val="006E3ED3"/>
    <w:rsid w:val="00743396"/>
    <w:rsid w:val="00751202"/>
    <w:rsid w:val="00777C4F"/>
    <w:rsid w:val="007A7F2D"/>
    <w:rsid w:val="007E0E54"/>
    <w:rsid w:val="00826BBB"/>
    <w:rsid w:val="0083184B"/>
    <w:rsid w:val="008570C6"/>
    <w:rsid w:val="00864697"/>
    <w:rsid w:val="00893BFD"/>
    <w:rsid w:val="008A52D7"/>
    <w:rsid w:val="008C0E2C"/>
    <w:rsid w:val="008C354D"/>
    <w:rsid w:val="008D6C35"/>
    <w:rsid w:val="00904E70"/>
    <w:rsid w:val="00911719"/>
    <w:rsid w:val="00967B35"/>
    <w:rsid w:val="009753FC"/>
    <w:rsid w:val="00983AA1"/>
    <w:rsid w:val="009A0BC7"/>
    <w:rsid w:val="009B5639"/>
    <w:rsid w:val="009E02E3"/>
    <w:rsid w:val="00A11E89"/>
    <w:rsid w:val="00A22009"/>
    <w:rsid w:val="00A4743F"/>
    <w:rsid w:val="00A91BF6"/>
    <w:rsid w:val="00AC0AA8"/>
    <w:rsid w:val="00B57528"/>
    <w:rsid w:val="00B61A10"/>
    <w:rsid w:val="00BA7F14"/>
    <w:rsid w:val="00BD6726"/>
    <w:rsid w:val="00BE1FA1"/>
    <w:rsid w:val="00C026BF"/>
    <w:rsid w:val="00C24C1E"/>
    <w:rsid w:val="00C31356"/>
    <w:rsid w:val="00C42544"/>
    <w:rsid w:val="00C63580"/>
    <w:rsid w:val="00C7134F"/>
    <w:rsid w:val="00C745AB"/>
    <w:rsid w:val="00C9145B"/>
    <w:rsid w:val="00C93684"/>
    <w:rsid w:val="00CB7125"/>
    <w:rsid w:val="00CB72C3"/>
    <w:rsid w:val="00CD2F36"/>
    <w:rsid w:val="00D12717"/>
    <w:rsid w:val="00D15A56"/>
    <w:rsid w:val="00D26D36"/>
    <w:rsid w:val="00D415D0"/>
    <w:rsid w:val="00D44BEC"/>
    <w:rsid w:val="00D46551"/>
    <w:rsid w:val="00D56A3B"/>
    <w:rsid w:val="00D60CCE"/>
    <w:rsid w:val="00D90EA1"/>
    <w:rsid w:val="00DB466C"/>
    <w:rsid w:val="00DB7F16"/>
    <w:rsid w:val="00DC4B86"/>
    <w:rsid w:val="00DE0B69"/>
    <w:rsid w:val="00DE2C62"/>
    <w:rsid w:val="00DE63ED"/>
    <w:rsid w:val="00DF6D55"/>
    <w:rsid w:val="00E40250"/>
    <w:rsid w:val="00E540A6"/>
    <w:rsid w:val="00E8230A"/>
    <w:rsid w:val="00E96808"/>
    <w:rsid w:val="00EB31D5"/>
    <w:rsid w:val="00ED451C"/>
    <w:rsid w:val="00F024DF"/>
    <w:rsid w:val="00F14C19"/>
    <w:rsid w:val="00F26F79"/>
    <w:rsid w:val="00F42478"/>
    <w:rsid w:val="00F45A2B"/>
    <w:rsid w:val="00F60840"/>
    <w:rsid w:val="00F6241B"/>
    <w:rsid w:val="00F76251"/>
    <w:rsid w:val="00F96021"/>
    <w:rsid w:val="00FB408C"/>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07030"/>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paragraph" w:styleId="NoSpacing">
    <w:name w:val="No Spacing"/>
    <w:uiPriority w:val="1"/>
    <w:qFormat/>
    <w:rsid w:val="00D44B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F229C-59D6-4B72-BBC4-9AEF9AF5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M Williams</cp:lastModifiedBy>
  <cp:revision>4</cp:revision>
  <cp:lastPrinted>2023-01-19T14:18:00Z</cp:lastPrinted>
  <dcterms:created xsi:type="dcterms:W3CDTF">2025-09-12T12:47:00Z</dcterms:created>
  <dcterms:modified xsi:type="dcterms:W3CDTF">2026-03-03T10:11:00Z</dcterms:modified>
</cp:coreProperties>
</file>