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0"/>
        <w:gridCol w:w="3265"/>
        <w:gridCol w:w="3827"/>
        <w:gridCol w:w="3119"/>
        <w:gridCol w:w="3685"/>
      </w:tblGrid>
      <w:tr w:rsidR="008B2B17" w:rsidRPr="00CB1832" w:rsidTr="0013316F">
        <w:trPr>
          <w:trHeight w:val="871"/>
        </w:trPr>
        <w:tc>
          <w:tcPr>
            <w:tcW w:w="15446" w:type="dxa"/>
            <w:gridSpan w:val="5"/>
          </w:tcPr>
          <w:p w:rsidR="008B2B17" w:rsidRPr="00CB1832" w:rsidRDefault="008B2B17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784974">
              <w:rPr>
                <w:rFonts w:ascii="Century Gothic" w:hAnsi="Century Gothic" w:cs="Tahoma"/>
                <w:b/>
                <w:bCs/>
                <w:color w:val="000000"/>
              </w:rPr>
              <w:t>0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BTEC Tech Award </w:t>
            </w:r>
            <w:r w:rsidR="00100A19">
              <w:rPr>
                <w:rFonts w:ascii="Century Gothic" w:hAnsi="Century Gothic" w:cs="Tahoma"/>
                <w:b/>
                <w:bCs/>
                <w:color w:val="000000"/>
              </w:rPr>
              <w:t>in Sport</w:t>
            </w:r>
            <w:bookmarkStart w:id="0" w:name="_GoBack"/>
            <w:bookmarkEnd w:id="0"/>
          </w:p>
        </w:tc>
      </w:tr>
      <w:tr w:rsidR="008B2B17" w:rsidRPr="00CB1832" w:rsidTr="00D74513">
        <w:trPr>
          <w:trHeight w:val="1686"/>
        </w:trPr>
        <w:tc>
          <w:tcPr>
            <w:tcW w:w="1550" w:type="dxa"/>
          </w:tcPr>
          <w:p w:rsidR="008B2B17" w:rsidRPr="00CB1832" w:rsidRDefault="008B2B1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96" w:type="dxa"/>
            <w:gridSpan w:val="4"/>
          </w:tcPr>
          <w:p w:rsidR="008B2B17" w:rsidRDefault="006A11D3" w:rsidP="0065448A">
            <w:pPr>
              <w:spacing w:after="0" w:line="240" w:lineRule="auto"/>
              <w:rPr>
                <w:rFonts w:ascii="Century Gothic" w:hAnsi="Century Gothic"/>
              </w:rPr>
            </w:pPr>
            <w:r w:rsidRPr="006A11D3">
              <w:rPr>
                <w:rFonts w:ascii="Century Gothic" w:hAnsi="Century Gothic"/>
              </w:rPr>
              <w:t xml:space="preserve">The Pearson BTEC Level 1/Level 2 Tech Award in </w:t>
            </w:r>
            <w:r w:rsidR="005B2465">
              <w:rPr>
                <w:rFonts w:ascii="Century Gothic" w:hAnsi="Century Gothic"/>
              </w:rPr>
              <w:t>Sport</w:t>
            </w:r>
            <w:r w:rsidRPr="006A11D3">
              <w:rPr>
                <w:rFonts w:ascii="Century Gothic" w:hAnsi="Century Gothic"/>
              </w:rPr>
              <w:t xml:space="preserve"> is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for learners who want to acquire sector-specific applied knowledge through vocational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 xml:space="preserve">contexts by studying </w:t>
            </w:r>
            <w:r w:rsidR="005B2465">
              <w:rPr>
                <w:rFonts w:ascii="Century Gothic" w:hAnsi="Century Gothic"/>
              </w:rPr>
              <w:t xml:space="preserve">participation </w:t>
            </w:r>
            <w:r w:rsidR="00950209">
              <w:rPr>
                <w:rFonts w:ascii="Century Gothic" w:hAnsi="Century Gothic"/>
              </w:rPr>
              <w:t xml:space="preserve">and performance </w:t>
            </w:r>
            <w:r w:rsidR="005B2465">
              <w:rPr>
                <w:rFonts w:ascii="Century Gothic" w:hAnsi="Century Gothic"/>
              </w:rPr>
              <w:t>in sport and physical activity</w:t>
            </w:r>
            <w:r w:rsidRPr="006A11D3">
              <w:rPr>
                <w:rFonts w:ascii="Century Gothic" w:hAnsi="Century Gothic"/>
              </w:rPr>
              <w:t xml:space="preserve"> as part of their Key Stage 4 learning. The qualification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recognises the value of learning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skills, knowledge and vocational attributes to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complement GCSEs. The qualification will broaden learners’ experience and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understanding of the varied progression options available to them.</w:t>
            </w:r>
            <w:r w:rsidR="00D74513">
              <w:rPr>
                <w:rFonts w:ascii="Century Gothic" w:hAnsi="Century Gothic"/>
              </w:rPr>
              <w:t xml:space="preserve"> They will cover all of component 1 and part of component 2 whilst in year 10, these two components ar</w:t>
            </w:r>
            <w:r w:rsidR="005B2465">
              <w:rPr>
                <w:rFonts w:ascii="Century Gothic" w:hAnsi="Century Gothic"/>
              </w:rPr>
              <w:t xml:space="preserve">e: </w:t>
            </w:r>
            <w:r w:rsidR="005B2465" w:rsidRPr="005B2465">
              <w:rPr>
                <w:rFonts w:ascii="Century Gothic" w:hAnsi="Century Gothic"/>
              </w:rPr>
              <w:t xml:space="preserve">Preparing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articipants to </w:t>
            </w:r>
            <w:r w:rsidR="00D63517">
              <w:rPr>
                <w:rFonts w:ascii="Century Gothic" w:hAnsi="Century Gothic"/>
              </w:rPr>
              <w:t>t</w:t>
            </w:r>
            <w:r w:rsidR="005B2465" w:rsidRPr="005B2465">
              <w:rPr>
                <w:rFonts w:ascii="Century Gothic" w:hAnsi="Century Gothic"/>
              </w:rPr>
              <w:t xml:space="preserve">ake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art in </w:t>
            </w:r>
            <w:r w:rsidR="00D63517">
              <w:rPr>
                <w:rFonts w:ascii="Century Gothic" w:hAnsi="Century Gothic"/>
              </w:rPr>
              <w:t>s</w:t>
            </w:r>
            <w:r w:rsidR="005B2465" w:rsidRPr="005B2465">
              <w:rPr>
                <w:rFonts w:ascii="Century Gothic" w:hAnsi="Century Gothic"/>
              </w:rPr>
              <w:t xml:space="preserve">port and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hysical </w:t>
            </w:r>
            <w:r w:rsidR="00D63517">
              <w:rPr>
                <w:rFonts w:ascii="Century Gothic" w:hAnsi="Century Gothic"/>
              </w:rPr>
              <w:t>a</w:t>
            </w:r>
            <w:r w:rsidR="005B2465" w:rsidRPr="005B2465">
              <w:rPr>
                <w:rFonts w:ascii="Century Gothic" w:hAnsi="Century Gothic"/>
              </w:rPr>
              <w:t>ctivity</w:t>
            </w:r>
            <w:r w:rsidR="005B2465">
              <w:rPr>
                <w:rFonts w:ascii="Century Gothic" w:hAnsi="Century Gothic"/>
              </w:rPr>
              <w:t xml:space="preserve"> and </w:t>
            </w:r>
            <w:r w:rsidR="00D63517">
              <w:rPr>
                <w:rFonts w:ascii="Century Gothic" w:hAnsi="Century Gothic"/>
              </w:rPr>
              <w:t>t</w:t>
            </w:r>
            <w:r w:rsidR="0065448A" w:rsidRPr="0065448A">
              <w:rPr>
                <w:rFonts w:ascii="Century Gothic" w:hAnsi="Century Gothic"/>
              </w:rPr>
              <w:t xml:space="preserve">aking </w:t>
            </w:r>
            <w:r w:rsidR="00D63517">
              <w:rPr>
                <w:rFonts w:ascii="Century Gothic" w:hAnsi="Century Gothic"/>
              </w:rPr>
              <w:t>p</w:t>
            </w:r>
            <w:r w:rsidR="0065448A" w:rsidRPr="0065448A">
              <w:rPr>
                <w:rFonts w:ascii="Century Gothic" w:hAnsi="Century Gothic"/>
              </w:rPr>
              <w:t xml:space="preserve">art and </w:t>
            </w:r>
            <w:r w:rsidR="00D63517">
              <w:rPr>
                <w:rFonts w:ascii="Century Gothic" w:hAnsi="Century Gothic"/>
              </w:rPr>
              <w:t>i</w:t>
            </w:r>
            <w:r w:rsidR="0065448A" w:rsidRPr="0065448A">
              <w:rPr>
                <w:rFonts w:ascii="Century Gothic" w:hAnsi="Century Gothic"/>
              </w:rPr>
              <w:t xml:space="preserve">mproving </w:t>
            </w:r>
            <w:r w:rsidR="00D63517">
              <w:rPr>
                <w:rFonts w:ascii="Century Gothic" w:hAnsi="Century Gothic"/>
              </w:rPr>
              <w:t>o</w:t>
            </w:r>
            <w:r w:rsidR="0065448A" w:rsidRPr="0065448A">
              <w:rPr>
                <w:rFonts w:ascii="Century Gothic" w:hAnsi="Century Gothic"/>
              </w:rPr>
              <w:t>ther</w:t>
            </w:r>
            <w:r w:rsidR="00D63517">
              <w:rPr>
                <w:rFonts w:ascii="Century Gothic" w:hAnsi="Century Gothic"/>
              </w:rPr>
              <w:t xml:space="preserve"> p</w:t>
            </w:r>
            <w:r w:rsidR="0065448A" w:rsidRPr="0065448A">
              <w:rPr>
                <w:rFonts w:ascii="Century Gothic" w:hAnsi="Century Gothic"/>
              </w:rPr>
              <w:t xml:space="preserve">articipants </w:t>
            </w:r>
            <w:r w:rsidR="00D63517">
              <w:rPr>
                <w:rFonts w:ascii="Century Gothic" w:hAnsi="Century Gothic"/>
              </w:rPr>
              <w:t>s</w:t>
            </w:r>
            <w:r w:rsidR="0065448A" w:rsidRPr="0065448A">
              <w:rPr>
                <w:rFonts w:ascii="Century Gothic" w:hAnsi="Century Gothic"/>
              </w:rPr>
              <w:t xml:space="preserve">porting </w:t>
            </w:r>
            <w:r w:rsidR="00D63517">
              <w:rPr>
                <w:rFonts w:ascii="Century Gothic" w:hAnsi="Century Gothic"/>
              </w:rPr>
              <w:t>p</w:t>
            </w:r>
            <w:r w:rsidR="0065448A" w:rsidRPr="0065448A">
              <w:rPr>
                <w:rFonts w:ascii="Century Gothic" w:hAnsi="Century Gothic"/>
              </w:rPr>
              <w:t>erformance</w:t>
            </w:r>
            <w:r w:rsidR="00233867">
              <w:rPr>
                <w:rFonts w:ascii="Century Gothic" w:hAnsi="Century Gothic"/>
              </w:rPr>
              <w:t>.</w:t>
            </w:r>
          </w:p>
          <w:p w:rsidR="008B2B17" w:rsidRDefault="008B2B17" w:rsidP="00E5096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784974" w:rsidRPr="00CB1832" w:rsidTr="002C41CC">
        <w:trPr>
          <w:trHeight w:val="871"/>
        </w:trPr>
        <w:tc>
          <w:tcPr>
            <w:tcW w:w="1550" w:type="dxa"/>
          </w:tcPr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219201828"/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265" w:type="dxa"/>
          </w:tcPr>
          <w:p w:rsidR="00784974" w:rsidRDefault="00784974" w:rsidP="0078497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  <w:r w:rsidR="004F5693">
              <w:rPr>
                <w:rFonts w:ascii="Century Gothic" w:hAnsi="Century Gothic" w:cs="Tahoma"/>
                <w:b/>
                <w:bCs/>
                <w:color w:val="000000"/>
              </w:rPr>
              <w:t>/2</w:t>
            </w:r>
          </w:p>
        </w:tc>
        <w:tc>
          <w:tcPr>
            <w:tcW w:w="3827" w:type="dxa"/>
          </w:tcPr>
          <w:p w:rsidR="00784974" w:rsidRPr="00CB1832" w:rsidRDefault="00784974" w:rsidP="0078497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</w:t>
            </w:r>
            <w:r w:rsidR="004F5693">
              <w:rPr>
                <w:rFonts w:ascii="Century Gothic" w:hAnsi="Century Gothic" w:cs="Tahoma"/>
                <w:b/>
                <w:bCs/>
                <w:color w:val="000000"/>
              </w:rPr>
              <w:t>ummer 1</w:t>
            </w:r>
          </w:p>
        </w:tc>
        <w:tc>
          <w:tcPr>
            <w:tcW w:w="3119" w:type="dxa"/>
          </w:tcPr>
          <w:p w:rsidR="00784974" w:rsidRPr="00CB1832" w:rsidRDefault="00784974" w:rsidP="0078497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3685" w:type="dxa"/>
          </w:tcPr>
          <w:p w:rsidR="00784974" w:rsidRDefault="00784974" w:rsidP="0078497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</w:tr>
      <w:bookmarkEnd w:id="1"/>
      <w:tr w:rsidR="00784974" w:rsidRPr="00CB1832" w:rsidTr="0013316F">
        <w:trPr>
          <w:trHeight w:val="816"/>
        </w:trPr>
        <w:tc>
          <w:tcPr>
            <w:tcW w:w="1550" w:type="dxa"/>
          </w:tcPr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7092" w:type="dxa"/>
            <w:gridSpan w:val="2"/>
          </w:tcPr>
          <w:p w:rsidR="00784974" w:rsidRPr="00EC7C49" w:rsidRDefault="00784974" w:rsidP="00784974">
            <w:pPr>
              <w:spacing w:after="0" w:line="240" w:lineRule="auto"/>
              <w:rPr>
                <w:rFonts w:ascii="Century Gothic" w:hAnsi="Century Gothic"/>
                <w:i/>
                <w:u w:val="single"/>
              </w:rPr>
            </w:pPr>
            <w:r w:rsidRPr="00EC7C49">
              <w:rPr>
                <w:rFonts w:ascii="Century Gothic" w:hAnsi="Century Gothic"/>
                <w:i/>
                <w:u w:val="single"/>
              </w:rPr>
              <w:t xml:space="preserve">Component 1: </w:t>
            </w:r>
            <w:r w:rsidRPr="000D75F6">
              <w:rPr>
                <w:rFonts w:ascii="Century Gothic" w:hAnsi="Century Gothic"/>
                <w:i/>
                <w:u w:val="single"/>
              </w:rPr>
              <w:t>Preparing Participants to Take Part in Sport and Physical Activity</w:t>
            </w:r>
          </w:p>
          <w:p w:rsidR="00784974" w:rsidRPr="008F0DE6" w:rsidRDefault="00784974" w:rsidP="00784974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/>
              </w:rPr>
            </w:pPr>
            <w:r w:rsidRPr="008E049E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 xml:space="preserve">his component </w:t>
            </w:r>
            <w:r w:rsidRPr="008E049E">
              <w:rPr>
                <w:rFonts w:ascii="Century Gothic" w:hAnsi="Century Gothic"/>
              </w:rPr>
              <w:t xml:space="preserve">will </w:t>
            </w:r>
            <w:r>
              <w:rPr>
                <w:rFonts w:ascii="Century Gothic" w:hAnsi="Century Gothic"/>
              </w:rPr>
              <w:t xml:space="preserve">help learners </w:t>
            </w:r>
            <w:r w:rsidRPr="008E049E">
              <w:rPr>
                <w:rFonts w:ascii="Century Gothic" w:hAnsi="Century Gothic"/>
              </w:rPr>
              <w:t>gain an understanding of the different providers</w:t>
            </w:r>
            <w:r>
              <w:rPr>
                <w:rFonts w:ascii="Century Gothic" w:hAnsi="Century Gothic"/>
              </w:rPr>
              <w:t xml:space="preserve"> </w:t>
            </w:r>
            <w:r w:rsidRPr="008E049E">
              <w:rPr>
                <w:rFonts w:ascii="Century Gothic" w:hAnsi="Century Gothic"/>
              </w:rPr>
              <w:t xml:space="preserve">of sport and </w:t>
            </w:r>
            <w:r>
              <w:rPr>
                <w:rFonts w:ascii="Century Gothic" w:hAnsi="Century Gothic"/>
              </w:rPr>
              <w:t>physical activity. It will increase their awareness of the needs of different types of participants and barriers that obstruct participation, whilst considering methods to overcome these. Learners will e</w:t>
            </w:r>
            <w:r w:rsidRPr="008019D5">
              <w:rPr>
                <w:rFonts w:ascii="Century Gothic" w:hAnsi="Century Gothic"/>
              </w:rPr>
              <w:t xml:space="preserve">xamine </w:t>
            </w:r>
            <w:r>
              <w:rPr>
                <w:rFonts w:ascii="Century Gothic" w:hAnsi="Century Gothic"/>
              </w:rPr>
              <w:t xml:space="preserve">clothing, </w:t>
            </w:r>
            <w:r w:rsidRPr="008019D5">
              <w:rPr>
                <w:rFonts w:ascii="Century Gothic" w:hAnsi="Century Gothic"/>
              </w:rPr>
              <w:t>equipment and technology required for participants to use when taking part in</w:t>
            </w:r>
            <w:r>
              <w:rPr>
                <w:rFonts w:ascii="Century Gothic" w:hAnsi="Century Gothic"/>
              </w:rPr>
              <w:t xml:space="preserve"> </w:t>
            </w:r>
            <w:r w:rsidRPr="008019D5">
              <w:rPr>
                <w:rFonts w:ascii="Century Gothic" w:hAnsi="Century Gothic"/>
              </w:rPr>
              <w:t>sport and physical activity</w:t>
            </w:r>
            <w:r>
              <w:rPr>
                <w:rFonts w:ascii="Century Gothic" w:hAnsi="Century Gothic"/>
              </w:rPr>
              <w:t xml:space="preserve">. </w:t>
            </w:r>
            <w:r w:rsidRPr="008019D5">
              <w:rPr>
                <w:rFonts w:ascii="Century Gothic" w:hAnsi="Century Gothic"/>
              </w:rPr>
              <w:t xml:space="preserve">This component </w:t>
            </w:r>
            <w:r>
              <w:rPr>
                <w:rFonts w:ascii="Century Gothic" w:hAnsi="Century Gothic"/>
              </w:rPr>
              <w:t xml:space="preserve">also </w:t>
            </w:r>
            <w:r w:rsidRPr="008019D5">
              <w:rPr>
                <w:rFonts w:ascii="Century Gothic" w:hAnsi="Century Gothic"/>
              </w:rPr>
              <w:t>investigates the benefits that</w:t>
            </w:r>
            <w:r>
              <w:rPr>
                <w:rFonts w:ascii="Century Gothic" w:hAnsi="Century Gothic"/>
              </w:rPr>
              <w:t xml:space="preserve"> </w:t>
            </w:r>
            <w:r w:rsidRPr="008019D5">
              <w:rPr>
                <w:rFonts w:ascii="Century Gothic" w:hAnsi="Century Gothic"/>
              </w:rPr>
              <w:t>technological advances have created in the sector and the potential limitations</w:t>
            </w:r>
            <w:r>
              <w:rPr>
                <w:rFonts w:ascii="Century Gothic" w:hAnsi="Century Gothic"/>
              </w:rPr>
              <w:t xml:space="preserve"> </w:t>
            </w:r>
            <w:r w:rsidRPr="008019D5">
              <w:rPr>
                <w:rFonts w:ascii="Century Gothic" w:hAnsi="Century Gothic"/>
              </w:rPr>
              <w:t>that technology may still have.</w:t>
            </w:r>
          </w:p>
          <w:p w:rsidR="00784974" w:rsidRPr="008F0DE6" w:rsidRDefault="00784974" w:rsidP="00784974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784974" w:rsidRPr="00EC7C49" w:rsidRDefault="00784974" w:rsidP="00784974">
            <w:pPr>
              <w:spacing w:after="0" w:line="240" w:lineRule="auto"/>
              <w:rPr>
                <w:rFonts w:ascii="Century Gothic" w:hAnsi="Century Gothic"/>
                <w:i/>
                <w:u w:val="single"/>
              </w:rPr>
            </w:pPr>
            <w:r w:rsidRPr="00EC7C49">
              <w:rPr>
                <w:rFonts w:ascii="Century Gothic" w:hAnsi="Century Gothic"/>
                <w:i/>
                <w:u w:val="single"/>
              </w:rPr>
              <w:t>Overview of knowledge:</w:t>
            </w:r>
          </w:p>
          <w:p w:rsidR="00784974" w:rsidRPr="008019D5" w:rsidRDefault="00784974" w:rsidP="007849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</w:rPr>
            </w:pPr>
            <w:r w:rsidRPr="008019D5">
              <w:rPr>
                <w:rFonts w:ascii="Century Gothic" w:hAnsi="Century Gothic"/>
              </w:rPr>
              <w:t>Types of sport and physical activity</w:t>
            </w:r>
          </w:p>
          <w:p w:rsidR="00784974" w:rsidRPr="008019D5" w:rsidRDefault="00784974" w:rsidP="007849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</w:rPr>
            </w:pPr>
            <w:r w:rsidRPr="008019D5">
              <w:rPr>
                <w:rFonts w:ascii="Century Gothic" w:hAnsi="Century Gothic"/>
              </w:rPr>
              <w:t xml:space="preserve">Types of sport and physical activity providers </w:t>
            </w:r>
          </w:p>
          <w:p w:rsidR="00784974" w:rsidRPr="008019D5" w:rsidRDefault="00784974" w:rsidP="007849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</w:rPr>
            </w:pPr>
            <w:r w:rsidRPr="008019D5">
              <w:rPr>
                <w:rFonts w:ascii="Century Gothic" w:hAnsi="Century Gothic"/>
              </w:rPr>
              <w:t>Types and needs of participants</w:t>
            </w:r>
          </w:p>
          <w:p w:rsidR="00784974" w:rsidRPr="008019D5" w:rsidRDefault="00784974" w:rsidP="007849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</w:rPr>
            </w:pPr>
            <w:r w:rsidRPr="008019D5">
              <w:rPr>
                <w:rFonts w:ascii="Century Gothic" w:hAnsi="Century Gothic"/>
              </w:rPr>
              <w:lastRenderedPageBreak/>
              <w:t>Types of barriers to participation and methods to overcome them</w:t>
            </w:r>
          </w:p>
          <w:p w:rsidR="00784974" w:rsidRPr="008019D5" w:rsidRDefault="00784974" w:rsidP="007849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Sport specific clothing, equipment and technology</w:t>
            </w:r>
          </w:p>
          <w:p w:rsidR="00784974" w:rsidRPr="006D233D" w:rsidRDefault="00784974" w:rsidP="0078497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804" w:type="dxa"/>
            <w:gridSpan w:val="2"/>
          </w:tcPr>
          <w:p w:rsidR="00784974" w:rsidRPr="005B4940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 xml:space="preserve">Component 2: </w:t>
            </w:r>
            <w:r w:rsidRPr="005B4940">
              <w:rPr>
                <w:rFonts w:ascii="Century Gothic" w:hAnsi="Century Gothic" w:cs="Tahoma"/>
                <w:bCs/>
                <w:color w:val="000000"/>
                <w:u w:val="single"/>
              </w:rPr>
              <w:t>Taking Part and Improving Other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B4940">
              <w:rPr>
                <w:rFonts w:ascii="Century Gothic" w:hAnsi="Century Gothic" w:cs="Tahoma"/>
                <w:bCs/>
                <w:color w:val="000000"/>
                <w:u w:val="single"/>
              </w:rPr>
              <w:t>Participants Sporting Performance</w:t>
            </w:r>
          </w:p>
          <w:p w:rsidR="00784974" w:rsidRPr="0013316F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784974" w:rsidRPr="00233867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33867">
              <w:rPr>
                <w:rFonts w:ascii="Century Gothic" w:hAnsi="Century Gothic" w:cs="Tahoma"/>
                <w:bCs/>
                <w:color w:val="000000"/>
              </w:rPr>
              <w:t>This component focuses on learning about sport through participation as a player,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understanding the roles of an official and learning about practical ways to improve other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participants’ sporting performance. This will help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to develop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their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own sporting skills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as well as give you a good understanding of the rules of the sport so that </w:t>
            </w:r>
            <w:r>
              <w:rPr>
                <w:rFonts w:ascii="Century Gothic" w:hAnsi="Century Gothic" w:cs="Tahoma"/>
                <w:bCs/>
                <w:color w:val="000000"/>
              </w:rPr>
              <w:t>they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are able to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adhere to these rules when participating. In addition, it will also help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to understand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and apply different methods to improve other participants’ sports performance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by taking on the role of a coach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Pr="0013316F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Overview of knowledge:</w:t>
            </w:r>
          </w:p>
          <w:p w:rsidR="00784974" w:rsidRPr="00ED2989" w:rsidRDefault="00784974" w:rsidP="0078497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C0E6E">
              <w:rPr>
                <w:rFonts w:ascii="Century Gothic" w:hAnsi="Century Gothic" w:cs="Tahoma"/>
                <w:bCs/>
                <w:color w:val="000000"/>
              </w:rPr>
              <w:t>The different components of physical and skill-related fitness and how they impact on performance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784974" w:rsidRDefault="00784974" w:rsidP="0078497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C0E6E">
              <w:rPr>
                <w:rFonts w:ascii="Century Gothic" w:hAnsi="Century Gothic" w:cs="Tahoma"/>
                <w:bCs/>
                <w:color w:val="000000"/>
              </w:rPr>
              <w:lastRenderedPageBreak/>
              <w:t>The different skills required for participation and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different strategies that can be used to develop performance.</w:t>
            </w:r>
          </w:p>
          <w:p w:rsidR="00784974" w:rsidRDefault="00784974" w:rsidP="0078497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T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he different types of official and their roles in different sports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and the rules</w:t>
            </w:r>
            <w:r>
              <w:rPr>
                <w:rFonts w:ascii="Century Gothic" w:hAnsi="Century Gothic" w:cs="Tahoma"/>
                <w:bCs/>
                <w:color w:val="000000"/>
              </w:rPr>
              <w:t>/regulations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 xml:space="preserve"> of the different sports.</w:t>
            </w:r>
          </w:p>
          <w:p w:rsidR="00784974" w:rsidRPr="00AC0E6E" w:rsidRDefault="00784974" w:rsidP="0078497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Coaching methods (including planning and leading).</w:t>
            </w:r>
          </w:p>
          <w:p w:rsidR="00784974" w:rsidRPr="0013316F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784974" w:rsidRPr="00CB1832" w:rsidTr="0013316F">
        <w:trPr>
          <w:trHeight w:val="871"/>
        </w:trPr>
        <w:tc>
          <w:tcPr>
            <w:tcW w:w="1550" w:type="dxa"/>
          </w:tcPr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7092" w:type="dxa"/>
            <w:gridSpan w:val="2"/>
          </w:tcPr>
          <w:p w:rsidR="00784974" w:rsidRPr="00396027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396027">
              <w:rPr>
                <w:rFonts w:ascii="Century Gothic" w:hAnsi="Century Gothic" w:cs="Tahoma"/>
                <w:bCs/>
                <w:i/>
                <w:color w:val="000000"/>
              </w:rPr>
              <w:t>Learning Outcomes: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C3A20">
              <w:rPr>
                <w:rFonts w:ascii="Century Gothic" w:hAnsi="Century Gothic" w:cs="Tahoma"/>
                <w:b/>
                <w:bCs/>
                <w:color w:val="000000"/>
              </w:rPr>
              <w:t>A</w:t>
            </w:r>
            <w:r w:rsidRPr="006C3A20">
              <w:rPr>
                <w:rFonts w:ascii="Century Gothic" w:hAnsi="Century Gothic" w:cs="Tahoma"/>
                <w:bCs/>
                <w:color w:val="000000"/>
              </w:rPr>
              <w:t xml:space="preserve"> Explore types and provision of sport and physical activity for different types of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C3A20">
              <w:rPr>
                <w:rFonts w:ascii="Century Gothic" w:hAnsi="Century Gothic" w:cs="Tahoma"/>
                <w:bCs/>
                <w:color w:val="000000"/>
              </w:rPr>
              <w:t>participant</w:t>
            </w:r>
          </w:p>
          <w:p w:rsidR="00784974" w:rsidRPr="006C3A20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C3A20">
              <w:rPr>
                <w:rFonts w:ascii="Century Gothic" w:hAnsi="Century Gothic" w:cs="Tahoma"/>
                <w:b/>
                <w:bCs/>
                <w:color w:val="000000"/>
              </w:rPr>
              <w:t>B</w:t>
            </w:r>
            <w:r w:rsidRPr="006C3A20">
              <w:rPr>
                <w:rFonts w:ascii="Century Gothic" w:hAnsi="Century Gothic" w:cs="Tahoma"/>
                <w:bCs/>
                <w:color w:val="000000"/>
              </w:rPr>
              <w:t xml:space="preserve"> Examine equipment and technology required for participants to use when taking part in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C3A20">
              <w:rPr>
                <w:rFonts w:ascii="Century Gothic" w:hAnsi="Century Gothic" w:cs="Tahoma"/>
                <w:bCs/>
                <w:color w:val="000000"/>
              </w:rPr>
              <w:t>sport and physical activity</w:t>
            </w:r>
          </w:p>
          <w:p w:rsidR="00784974" w:rsidRPr="006C3A20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C3A20">
              <w:rPr>
                <w:rFonts w:ascii="Century Gothic" w:hAnsi="Century Gothic" w:cs="Tahoma"/>
                <w:b/>
                <w:bCs/>
                <w:color w:val="000000"/>
              </w:rPr>
              <w:t>C</w:t>
            </w:r>
            <w:r w:rsidRPr="006C3A20">
              <w:rPr>
                <w:rFonts w:ascii="Century Gothic" w:hAnsi="Century Gothic" w:cs="Tahoma"/>
                <w:bCs/>
                <w:color w:val="000000"/>
              </w:rPr>
              <w:t xml:space="preserve"> Be able to prepare participants to take part in sport and physical activity.</w:t>
            </w:r>
          </w:p>
        </w:tc>
        <w:tc>
          <w:tcPr>
            <w:tcW w:w="6804" w:type="dxa"/>
            <w:gridSpan w:val="2"/>
          </w:tcPr>
          <w:p w:rsidR="00784974" w:rsidRPr="00396027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396027">
              <w:rPr>
                <w:rFonts w:ascii="Century Gothic" w:hAnsi="Century Gothic" w:cs="Tahoma"/>
                <w:bCs/>
                <w:i/>
                <w:color w:val="000000"/>
              </w:rPr>
              <w:t>Learning Outcomes: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A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Understand how different components of fitness are used in different physical activities</w:t>
            </w:r>
          </w:p>
          <w:p w:rsidR="00784974" w:rsidRPr="004D3DC0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B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Be able to participate in sport and understand the roles and responsibilities of officials</w:t>
            </w:r>
          </w:p>
          <w:p w:rsidR="00784974" w:rsidRPr="004D3DC0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C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Demonstrate ways to improve participants sporting techniques.</w:t>
            </w:r>
          </w:p>
        </w:tc>
      </w:tr>
      <w:tr w:rsidR="00784974" w:rsidRPr="00CB1832" w:rsidTr="0013316F">
        <w:trPr>
          <w:trHeight w:val="1633"/>
        </w:trPr>
        <w:tc>
          <w:tcPr>
            <w:tcW w:w="1550" w:type="dxa"/>
          </w:tcPr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7092" w:type="dxa"/>
            <w:gridSpan w:val="2"/>
          </w:tcPr>
          <w:p w:rsidR="00784974" w:rsidRPr="00C27E8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C27E84"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Component 1 – </w:t>
            </w:r>
            <w:r w:rsidRPr="000D75F6">
              <w:rPr>
                <w:rFonts w:ascii="Century Gothic" w:hAnsi="Century Gothic" w:cs="Tahoma"/>
                <w:bCs/>
                <w:color w:val="000000"/>
                <w:u w:val="single"/>
              </w:rPr>
              <w:t>Preparing Participants to Take Part in Sport and Physical Activity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04E51">
              <w:rPr>
                <w:rFonts w:ascii="Century Gothic" w:hAnsi="Century Gothic" w:cs="Tahoma"/>
                <w:bCs/>
                <w:color w:val="000000"/>
              </w:rPr>
              <w:t>Non-exam internal assessment set by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Pearson, marked by the centre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moderated by Pearson.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The Pearson-set Assignment will be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completed in approximately 6 hours of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supervised assessment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marked out of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60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Mock assessments will be done throughout the component in preparation for the Pearson Set Assignment.</w:t>
            </w:r>
          </w:p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784974" w:rsidRPr="000D75F6" w:rsidRDefault="00784974" w:rsidP="00784974">
            <w:pPr>
              <w:spacing w:after="0"/>
              <w:rPr>
                <w:rFonts w:ascii="Century Gothic" w:hAnsi="Century Gothic"/>
                <w:u w:val="single"/>
              </w:rPr>
            </w:pPr>
            <w:r w:rsidRPr="00E35850">
              <w:rPr>
                <w:rFonts w:ascii="Century Gothic" w:hAnsi="Century Gothic"/>
                <w:u w:val="single"/>
              </w:rPr>
              <w:t xml:space="preserve">Component 2: </w:t>
            </w:r>
            <w:r w:rsidRPr="000D75F6">
              <w:rPr>
                <w:rFonts w:ascii="Century Gothic" w:hAnsi="Century Gothic"/>
                <w:u w:val="single"/>
              </w:rPr>
              <w:t>Taking Part and Improving Other</w:t>
            </w:r>
          </w:p>
          <w:p w:rsidR="00784974" w:rsidRDefault="00784974" w:rsidP="00784974">
            <w:pPr>
              <w:spacing w:after="0"/>
              <w:rPr>
                <w:rFonts w:ascii="Century Gothic" w:hAnsi="Century Gothic"/>
                <w:u w:val="single"/>
              </w:rPr>
            </w:pPr>
            <w:r w:rsidRPr="000D75F6">
              <w:rPr>
                <w:rFonts w:ascii="Century Gothic" w:hAnsi="Century Gothic"/>
                <w:u w:val="single"/>
              </w:rPr>
              <w:t>Participants Sporting Performance</w:t>
            </w:r>
          </w:p>
          <w:p w:rsidR="00784974" w:rsidRPr="0050584E" w:rsidRDefault="00784974" w:rsidP="00784974">
            <w:pPr>
              <w:spacing w:after="0"/>
              <w:rPr>
                <w:rFonts w:ascii="Century Gothic" w:hAnsi="Century Gothic"/>
              </w:rPr>
            </w:pPr>
            <w:r w:rsidRPr="00E35850">
              <w:rPr>
                <w:rFonts w:ascii="Century Gothic" w:hAnsi="Century Gothic"/>
              </w:rPr>
              <w:t>Non-exam internal assessment set by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Pearson, marked by the centre and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moderated by Pearson.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The Pearson-set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Assignment will be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completed in approximately 6 hours of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supervised assessment</w:t>
            </w:r>
            <w:r>
              <w:rPr>
                <w:rFonts w:ascii="Century Gothic" w:hAnsi="Century Gothic"/>
              </w:rPr>
              <w:t xml:space="preserve"> and marked out of </w:t>
            </w:r>
            <w:r w:rsidRPr="00E35850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0</w:t>
            </w:r>
            <w:r w:rsidRPr="00E3585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 This assignment is not set until September (Year 2) so the assessments will consist of mock assignments and questions throughout delivering the component content.</w:t>
            </w:r>
          </w:p>
        </w:tc>
      </w:tr>
      <w:tr w:rsidR="00784974" w:rsidRPr="00CB1832" w:rsidTr="0013316F">
        <w:trPr>
          <w:trHeight w:val="816"/>
        </w:trPr>
        <w:tc>
          <w:tcPr>
            <w:tcW w:w="1550" w:type="dxa"/>
          </w:tcPr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7092" w:type="dxa"/>
            <w:gridSpan w:val="2"/>
          </w:tcPr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Websites to use for enrichment when out of lessons to further knowledge and understanding:</w:t>
            </w:r>
          </w:p>
          <w:p w:rsidR="00784974" w:rsidRPr="00CF1761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C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Learn Zone</w:t>
            </w:r>
          </w:p>
          <w:p w:rsidR="00784974" w:rsidRDefault="009761F0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784974" w:rsidRPr="00460B1E">
                <w:rPr>
                  <w:rStyle w:val="Hyperlink"/>
                  <w:rFonts w:ascii="Century Gothic" w:hAnsi="Century Gothic" w:cs="Tahoma"/>
                  <w:bCs/>
                </w:rPr>
                <w:t>https://learnzone.loucoll.ac.uk/sportres/CourseGenie/Sport/2010spec/AASELevel2/L2SportsDevelopment/L2SportsDevelopment_01Mod/index.htm</w:t>
              </w:r>
            </w:hyperlink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Centres for disease (control and prevention)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9761F0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784974" w:rsidRPr="00460B1E">
                <w:rPr>
                  <w:rStyle w:val="Hyperlink"/>
                  <w:rFonts w:ascii="Century Gothic" w:hAnsi="Century Gothic" w:cs="Tahoma"/>
                  <w:bCs/>
                </w:rPr>
                <w:t>https://www.cdc.gov/physicalactivity/basics/adding-pa/barriers.html</w:t>
              </w:r>
            </w:hyperlink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BBC Bitesize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9761F0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0" w:history="1">
              <w:r w:rsidR="00784974" w:rsidRPr="00460B1E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https://www.bbc.co.uk/bitesize/guides/z8gvcwx/revision/1</w:t>
              </w:r>
            </w:hyperlink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The body coach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9761F0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1" w:history="1">
              <w:r w:rsidR="00784974" w:rsidRPr="00460B1E">
                <w:rPr>
                  <w:rStyle w:val="Hyperlink"/>
                  <w:rFonts w:ascii="Century Gothic" w:hAnsi="Century Gothic" w:cs="Tahoma"/>
                  <w:bCs/>
                </w:rPr>
                <w:t>https://www.thebodycoach.com/blog/a-beginners-guide-to-warm-ups/</w:t>
              </w:r>
            </w:hyperlink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BBC Bitesize</w:t>
            </w:r>
          </w:p>
          <w:p w:rsidR="00784974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4974" w:rsidRDefault="009761F0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2" w:history="1">
              <w:r w:rsidR="00784974" w:rsidRPr="00460B1E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https://www.bbc.co.uk/bitesize/guides/z9ntfrd/revision/1</w:t>
              </w:r>
            </w:hyperlink>
          </w:p>
          <w:p w:rsidR="00784974" w:rsidRPr="00CB1832" w:rsidRDefault="00784974" w:rsidP="007849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:rsidR="00784974" w:rsidRDefault="00784974" w:rsidP="00784974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r w:rsidRPr="00EF36E1"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lastRenderedPageBreak/>
              <w:t xml:space="preserve">Websites to use for enrichment when out of lessons to further </w:t>
            </w: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kn</w:t>
            </w:r>
            <w:r w:rsidRPr="00EF36E1"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owledge and understandin</w:t>
            </w: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g:</w:t>
            </w:r>
          </w:p>
          <w:p w:rsidR="00784974" w:rsidRPr="00BC6BDB" w:rsidRDefault="009761F0" w:rsidP="00784974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hyperlink r:id="rId13" w:history="1">
              <w:r w:rsidR="00784974" w:rsidRPr="00EA2304">
                <w:rPr>
                  <w:rStyle w:val="Hyperlink"/>
                </w:rPr>
                <w:t>https://erevision.uk/</w:t>
              </w:r>
            </w:hyperlink>
          </w:p>
          <w:p w:rsidR="00784974" w:rsidRDefault="00784974" w:rsidP="00784974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</w:p>
          <w:p w:rsidR="00784974" w:rsidRDefault="00784974" w:rsidP="00784974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e-Revision</w:t>
            </w:r>
          </w:p>
          <w:p w:rsidR="00784974" w:rsidRPr="00EF36E1" w:rsidRDefault="009761F0" w:rsidP="00784974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4" w:history="1">
              <w:r w:rsidR="00784974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www.brianmac.co.uk/trainprog</w:t>
              </w:r>
            </w:hyperlink>
          </w:p>
          <w:p w:rsidR="00784974" w:rsidRPr="00EF36E1" w:rsidRDefault="00784974" w:rsidP="00784974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>Brian Mac</w:t>
            </w:r>
          </w:p>
          <w:p w:rsidR="00784974" w:rsidRPr="00EF36E1" w:rsidRDefault="00784974" w:rsidP="00784974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</w:p>
          <w:p w:rsidR="00784974" w:rsidRPr="00EF36E1" w:rsidRDefault="009761F0" w:rsidP="00784974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5" w:history="1">
              <w:r w:rsidR="00784974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www.livestrong.com/fitness</w:t>
              </w:r>
            </w:hyperlink>
          </w:p>
          <w:p w:rsidR="00784974" w:rsidRPr="00EF36E1" w:rsidRDefault="00784974" w:rsidP="00784974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>Live Strong</w:t>
            </w:r>
          </w:p>
          <w:p w:rsidR="00784974" w:rsidRPr="00EF36E1" w:rsidRDefault="00784974" w:rsidP="00784974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</w:p>
          <w:p w:rsidR="00784974" w:rsidRPr="00EF36E1" w:rsidRDefault="009761F0" w:rsidP="00784974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6" w:history="1">
              <w:r w:rsidR="00784974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www.sport-fitness-advisor.com</w:t>
              </w:r>
            </w:hyperlink>
          </w:p>
          <w:p w:rsidR="00784974" w:rsidRPr="00EF36E1" w:rsidRDefault="00784974" w:rsidP="00784974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 xml:space="preserve">Sport Fitness Advisor </w:t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www.badmintonengland.co.uk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Badminton Association of England</w:t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www.englandbasketball.co.uk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English Basketball Association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9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www.thefa.com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The Football Association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www.rfu.com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lastRenderedPageBreak/>
              <w:t>The Rugby Football Union</w:t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www.sportsleaders.org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Sports Leaders UK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2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www.sportsofficialsuk.com</w:t>
              </w:r>
            </w:hyperlink>
            <w:r w:rsidR="00784974" w:rsidRPr="00EF36E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Sports Officials UK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9761F0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3" w:history="1">
              <w:r w:rsidR="00784974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www.ukathletics.net</w:t>
              </w:r>
            </w:hyperlink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UK Athletics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:rsidR="00784974" w:rsidRPr="00EF36E1" w:rsidRDefault="00784974" w:rsidP="0078497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after="0" w:line="240" w:lineRule="auto"/>
              <w:rPr>
                <w:rFonts w:ascii="Verdana" w:hAnsi="Verdana" w:cs="Tahoma"/>
                <w:bCs/>
                <w:color w:val="C00000"/>
                <w:sz w:val="20"/>
                <w:szCs w:val="20"/>
              </w:rPr>
            </w:pPr>
          </w:p>
          <w:p w:rsidR="00784974" w:rsidRPr="00EF36E1" w:rsidRDefault="00784974" w:rsidP="00784974">
            <w:pPr>
              <w:spacing w:after="0" w:line="240" w:lineRule="auto"/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24"/>
      <w:footerReference w:type="default" r:id="rId2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65pt;height:214.7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6C9"/>
    <w:multiLevelType w:val="hybridMultilevel"/>
    <w:tmpl w:val="381292D4"/>
    <w:lvl w:ilvl="0" w:tplc="BED6D18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F657F"/>
    <w:multiLevelType w:val="hybridMultilevel"/>
    <w:tmpl w:val="835A901E"/>
    <w:lvl w:ilvl="0" w:tplc="F118A55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4"/>
  </w:num>
  <w:num w:numId="9">
    <w:abstractNumId w:val="4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5"/>
  </w:num>
  <w:num w:numId="21">
    <w:abstractNumId w:val="1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36AA"/>
    <w:rsid w:val="000D75F6"/>
    <w:rsid w:val="000E396E"/>
    <w:rsid w:val="000F38D7"/>
    <w:rsid w:val="000F403C"/>
    <w:rsid w:val="00100A19"/>
    <w:rsid w:val="001016C8"/>
    <w:rsid w:val="00105FE4"/>
    <w:rsid w:val="00127BAD"/>
    <w:rsid w:val="0013316F"/>
    <w:rsid w:val="00135895"/>
    <w:rsid w:val="00144CF3"/>
    <w:rsid w:val="001644CD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3867"/>
    <w:rsid w:val="0023423A"/>
    <w:rsid w:val="002356DB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3AA"/>
    <w:rsid w:val="00304B61"/>
    <w:rsid w:val="00311FA6"/>
    <w:rsid w:val="00320616"/>
    <w:rsid w:val="003538FE"/>
    <w:rsid w:val="00355EC5"/>
    <w:rsid w:val="003613BF"/>
    <w:rsid w:val="00394947"/>
    <w:rsid w:val="00396027"/>
    <w:rsid w:val="00397C0F"/>
    <w:rsid w:val="003A017B"/>
    <w:rsid w:val="003A7E33"/>
    <w:rsid w:val="003C3B58"/>
    <w:rsid w:val="00400C82"/>
    <w:rsid w:val="00422D95"/>
    <w:rsid w:val="0047269C"/>
    <w:rsid w:val="0047765C"/>
    <w:rsid w:val="004A4B6D"/>
    <w:rsid w:val="004B037E"/>
    <w:rsid w:val="004B7BF4"/>
    <w:rsid w:val="004D3DC0"/>
    <w:rsid w:val="004E52FC"/>
    <w:rsid w:val="004F5693"/>
    <w:rsid w:val="0050584E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B2465"/>
    <w:rsid w:val="005B4940"/>
    <w:rsid w:val="005D5C09"/>
    <w:rsid w:val="005F6F7C"/>
    <w:rsid w:val="00603786"/>
    <w:rsid w:val="00620529"/>
    <w:rsid w:val="00622958"/>
    <w:rsid w:val="0065448A"/>
    <w:rsid w:val="00673BAB"/>
    <w:rsid w:val="006A11D3"/>
    <w:rsid w:val="006C3A20"/>
    <w:rsid w:val="006C5CA4"/>
    <w:rsid w:val="006D233D"/>
    <w:rsid w:val="006D2BA0"/>
    <w:rsid w:val="006F0E0C"/>
    <w:rsid w:val="00720A8D"/>
    <w:rsid w:val="007379F5"/>
    <w:rsid w:val="00743396"/>
    <w:rsid w:val="00751202"/>
    <w:rsid w:val="00756187"/>
    <w:rsid w:val="00756FE5"/>
    <w:rsid w:val="00777C4F"/>
    <w:rsid w:val="00784974"/>
    <w:rsid w:val="007A7F2D"/>
    <w:rsid w:val="008019D5"/>
    <w:rsid w:val="00826BBB"/>
    <w:rsid w:val="0083184B"/>
    <w:rsid w:val="00864697"/>
    <w:rsid w:val="00893BFD"/>
    <w:rsid w:val="008B2B17"/>
    <w:rsid w:val="008C0E2C"/>
    <w:rsid w:val="008C354D"/>
    <w:rsid w:val="008D6C35"/>
    <w:rsid w:val="008E049E"/>
    <w:rsid w:val="008F0DE6"/>
    <w:rsid w:val="00921F9E"/>
    <w:rsid w:val="00950209"/>
    <w:rsid w:val="00967B35"/>
    <w:rsid w:val="009753FC"/>
    <w:rsid w:val="009761F0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85E4E"/>
    <w:rsid w:val="00A86A35"/>
    <w:rsid w:val="00A91BF6"/>
    <w:rsid w:val="00AC0E6E"/>
    <w:rsid w:val="00AC62AF"/>
    <w:rsid w:val="00B017E1"/>
    <w:rsid w:val="00B57528"/>
    <w:rsid w:val="00B61A10"/>
    <w:rsid w:val="00BC56D0"/>
    <w:rsid w:val="00BC6BDB"/>
    <w:rsid w:val="00BD6726"/>
    <w:rsid w:val="00BE1FA1"/>
    <w:rsid w:val="00BF105B"/>
    <w:rsid w:val="00C02267"/>
    <w:rsid w:val="00C23340"/>
    <w:rsid w:val="00C24C1E"/>
    <w:rsid w:val="00C27E84"/>
    <w:rsid w:val="00C3033F"/>
    <w:rsid w:val="00C31356"/>
    <w:rsid w:val="00C374C5"/>
    <w:rsid w:val="00C42544"/>
    <w:rsid w:val="00C60C8F"/>
    <w:rsid w:val="00C63580"/>
    <w:rsid w:val="00C7134F"/>
    <w:rsid w:val="00C9145B"/>
    <w:rsid w:val="00C96084"/>
    <w:rsid w:val="00CB1832"/>
    <w:rsid w:val="00CB7125"/>
    <w:rsid w:val="00CB72C3"/>
    <w:rsid w:val="00CD2F36"/>
    <w:rsid w:val="00CF1761"/>
    <w:rsid w:val="00D15A56"/>
    <w:rsid w:val="00D415D0"/>
    <w:rsid w:val="00D45027"/>
    <w:rsid w:val="00D56A3B"/>
    <w:rsid w:val="00D63517"/>
    <w:rsid w:val="00D74513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109D0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2989"/>
    <w:rsid w:val="00ED451C"/>
    <w:rsid w:val="00EF36E1"/>
    <w:rsid w:val="00F024DF"/>
    <w:rsid w:val="00F14C19"/>
    <w:rsid w:val="00F26F79"/>
    <w:rsid w:val="00F42478"/>
    <w:rsid w:val="00F45A2B"/>
    <w:rsid w:val="00F60840"/>
    <w:rsid w:val="00F61E0B"/>
    <w:rsid w:val="00F76251"/>
    <w:rsid w:val="00F8235E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ACC4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zone.loucoll.ac.uk/sportres/CourseGenie/Sport/2010spec/AASELevel2/L2SportsDevelopment/L2SportsDevelopment_01Mod/index.htm" TargetMode="External"/><Relationship Id="rId13" Type="http://schemas.openxmlformats.org/officeDocument/2006/relationships/hyperlink" Target="https://erevision.uk/" TargetMode="External"/><Relationship Id="rId18" Type="http://schemas.openxmlformats.org/officeDocument/2006/relationships/hyperlink" Target="http://www.englandbasketball.co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portsleaders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guides/z9ntfrd/revision/1" TargetMode="External"/><Relationship Id="rId17" Type="http://schemas.openxmlformats.org/officeDocument/2006/relationships/hyperlink" Target="http://www.badmintonengland.co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port-fitness-advisor.com" TargetMode="External"/><Relationship Id="rId20" Type="http://schemas.openxmlformats.org/officeDocument/2006/relationships/hyperlink" Target="http://www.rf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bodycoach.com/blog/a-beginners-guide-to-warm-up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ivestrong.com/fitness" TargetMode="External"/><Relationship Id="rId23" Type="http://schemas.openxmlformats.org/officeDocument/2006/relationships/hyperlink" Target="http://www.ukathletics.net" TargetMode="External"/><Relationship Id="rId10" Type="http://schemas.openxmlformats.org/officeDocument/2006/relationships/hyperlink" Target="https://www.bbc.co.uk/bitesize/guides/z8gvcwx/revision/1" TargetMode="External"/><Relationship Id="rId19" Type="http://schemas.openxmlformats.org/officeDocument/2006/relationships/hyperlink" Target="http://www.thef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physicalactivity/basics/adding-pa/barriers.html" TargetMode="External"/><Relationship Id="rId14" Type="http://schemas.openxmlformats.org/officeDocument/2006/relationships/hyperlink" Target="http://www.brianmac.co.uk/trainprog" TargetMode="External"/><Relationship Id="rId22" Type="http://schemas.openxmlformats.org/officeDocument/2006/relationships/hyperlink" Target="http://www.sportsofficialsuk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C6A9-3375-477B-8043-A5EFA246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9</cp:revision>
  <cp:lastPrinted>2017-01-30T07:48:00Z</cp:lastPrinted>
  <dcterms:created xsi:type="dcterms:W3CDTF">2026-01-13T12:55:00Z</dcterms:created>
  <dcterms:modified xsi:type="dcterms:W3CDTF">2026-03-02T09:30:00Z</dcterms:modified>
</cp:coreProperties>
</file>