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579" w:type="dxa"/>
        <w:tblLook w:val="04A0" w:firstRow="1" w:lastRow="0" w:firstColumn="1" w:lastColumn="0" w:noHBand="0" w:noVBand="1"/>
      </w:tblPr>
      <w:tblGrid>
        <w:gridCol w:w="1679"/>
        <w:gridCol w:w="4128"/>
        <w:gridCol w:w="4678"/>
        <w:gridCol w:w="5094"/>
      </w:tblGrid>
      <w:tr w:rsidR="000438BE" w:rsidRPr="00CB1832" w:rsidTr="00846FC0">
        <w:trPr>
          <w:trHeight w:val="467"/>
        </w:trPr>
        <w:tc>
          <w:tcPr>
            <w:tcW w:w="15579" w:type="dxa"/>
            <w:gridSpan w:val="4"/>
          </w:tcPr>
          <w:p w:rsidR="000438BE" w:rsidRPr="00CB1832" w:rsidRDefault="00846FC0" w:rsidP="00D56A3B">
            <w:pPr>
              <w:spacing w:after="0" w:line="240" w:lineRule="auto"/>
              <w:jc w:val="center"/>
              <w:rPr>
                <w:rFonts w:ascii="Century Gothic" w:hAnsi="Century Gothic" w:cs="Tahoma"/>
                <w:b/>
                <w:bCs/>
                <w:color w:val="000000"/>
              </w:rPr>
            </w:pPr>
            <w:r>
              <w:rPr>
                <w:rFonts w:ascii="Century Gothic" w:hAnsi="Century Gothic" w:cs="Tahoma"/>
                <w:b/>
                <w:bCs/>
                <w:color w:val="000000"/>
              </w:rPr>
              <w:t xml:space="preserve">Year 11 English </w:t>
            </w:r>
            <w:bookmarkStart w:id="0" w:name="_GoBack"/>
            <w:bookmarkEnd w:id="0"/>
          </w:p>
        </w:tc>
      </w:tr>
      <w:tr w:rsidR="000438BE" w:rsidRPr="00CB1832" w:rsidTr="00846FC0">
        <w:trPr>
          <w:trHeight w:val="1963"/>
        </w:trPr>
        <w:tc>
          <w:tcPr>
            <w:tcW w:w="1679" w:type="dxa"/>
          </w:tcPr>
          <w:p w:rsidR="000438BE" w:rsidRPr="00CB1832" w:rsidRDefault="000438BE" w:rsidP="00893BFD">
            <w:pPr>
              <w:spacing w:after="0" w:line="240" w:lineRule="auto"/>
              <w:rPr>
                <w:rFonts w:ascii="Century Gothic" w:hAnsi="Century Gothic" w:cs="Tahoma"/>
                <w:b/>
                <w:bCs/>
                <w:color w:val="000000"/>
              </w:rPr>
            </w:pPr>
            <w:r w:rsidRPr="00CB1832">
              <w:rPr>
                <w:rFonts w:ascii="Century Gothic" w:hAnsi="Century Gothic" w:cs="Tahoma"/>
                <w:b/>
                <w:bCs/>
                <w:color w:val="000000"/>
              </w:rPr>
              <w:t>Curriculum intent</w:t>
            </w:r>
          </w:p>
        </w:tc>
        <w:tc>
          <w:tcPr>
            <w:tcW w:w="13900" w:type="dxa"/>
            <w:gridSpan w:val="3"/>
          </w:tcPr>
          <w:p w:rsidR="000438BE" w:rsidRDefault="00846FC0" w:rsidP="00E50963">
            <w:pPr>
              <w:spacing w:after="0" w:line="240" w:lineRule="auto"/>
              <w:rPr>
                <w:rFonts w:ascii="Century Gothic" w:hAnsi="Century Gothic"/>
              </w:rPr>
            </w:pPr>
            <w:r>
              <w:rPr>
                <w:rFonts w:ascii="Century Gothic" w:hAnsi="Century Gothic"/>
              </w:rPr>
              <w:t xml:space="preserve">Students will be using their knowledge from the last 4 years to complete their GCSE studies. During the first half term, we will study the topic of Macbeth with students applying their skills and knowledge of characterisation and themes to the play and looking at the development of characters and themes. Students will read and explore the whole play. Students will then work on their English Language Paper 2 skills before sitting their mock exams just before Christmas. Students will end the course by exploring unseen poetry, mirroring the start of the course at Year 7 when they begin with an introduction of poetry. The aim will be to have students apply their knowledge from the course to unseen texts in order to explore, compare and make meaning before independently responding to a question about the poems. </w:t>
            </w:r>
          </w:p>
          <w:p w:rsidR="000438BE" w:rsidRPr="00CB1832" w:rsidRDefault="000438BE" w:rsidP="00E50963">
            <w:pPr>
              <w:rPr>
                <w:rFonts w:ascii="Century Gothic" w:hAnsi="Century Gothic"/>
              </w:rPr>
            </w:pPr>
          </w:p>
        </w:tc>
      </w:tr>
      <w:tr w:rsidR="00846FC0" w:rsidRPr="00CB1832" w:rsidTr="00846FC0">
        <w:trPr>
          <w:trHeight w:val="551"/>
        </w:trPr>
        <w:tc>
          <w:tcPr>
            <w:tcW w:w="1679" w:type="dxa"/>
          </w:tcPr>
          <w:p w:rsidR="00846FC0" w:rsidRPr="00CB1832" w:rsidRDefault="00846FC0" w:rsidP="00893BFD">
            <w:pPr>
              <w:spacing w:after="0" w:line="240" w:lineRule="auto"/>
              <w:rPr>
                <w:rFonts w:ascii="Century Gothic" w:hAnsi="Century Gothic" w:cs="Tahoma"/>
                <w:b/>
                <w:bCs/>
                <w:color w:val="000000"/>
              </w:rPr>
            </w:pPr>
            <w:r w:rsidRPr="00CB1832">
              <w:rPr>
                <w:rFonts w:ascii="Century Gothic" w:hAnsi="Century Gothic" w:cs="Tahoma"/>
                <w:b/>
                <w:bCs/>
                <w:color w:val="000000"/>
              </w:rPr>
              <w:t>Term</w:t>
            </w:r>
          </w:p>
        </w:tc>
        <w:tc>
          <w:tcPr>
            <w:tcW w:w="4128" w:type="dxa"/>
          </w:tcPr>
          <w:p w:rsidR="00846FC0" w:rsidRDefault="00846FC0" w:rsidP="00846FC0">
            <w:pPr>
              <w:spacing w:after="0" w:line="240" w:lineRule="auto"/>
              <w:jc w:val="center"/>
              <w:rPr>
                <w:rFonts w:ascii="Century Gothic" w:hAnsi="Century Gothic" w:cs="Tahoma"/>
                <w:b/>
                <w:bCs/>
                <w:color w:val="000000"/>
              </w:rPr>
            </w:pPr>
            <w:r>
              <w:rPr>
                <w:rFonts w:ascii="Century Gothic" w:hAnsi="Century Gothic" w:cs="Tahoma"/>
                <w:b/>
                <w:bCs/>
                <w:color w:val="000000"/>
              </w:rPr>
              <w:t>Macbeth</w:t>
            </w:r>
          </w:p>
        </w:tc>
        <w:tc>
          <w:tcPr>
            <w:tcW w:w="4678" w:type="dxa"/>
          </w:tcPr>
          <w:p w:rsidR="00846FC0" w:rsidRPr="00CB1832" w:rsidRDefault="00846FC0" w:rsidP="00846FC0">
            <w:pPr>
              <w:spacing w:after="0" w:line="240" w:lineRule="auto"/>
              <w:jc w:val="center"/>
              <w:rPr>
                <w:rFonts w:ascii="Century Gothic" w:hAnsi="Century Gothic" w:cs="Tahoma"/>
                <w:b/>
                <w:bCs/>
                <w:color w:val="000000"/>
              </w:rPr>
            </w:pPr>
            <w:r>
              <w:rPr>
                <w:rFonts w:ascii="Century Gothic" w:hAnsi="Century Gothic" w:cs="Tahoma"/>
                <w:b/>
                <w:bCs/>
                <w:color w:val="000000"/>
              </w:rPr>
              <w:t>Language Paper Two</w:t>
            </w:r>
          </w:p>
        </w:tc>
        <w:tc>
          <w:tcPr>
            <w:tcW w:w="5094" w:type="dxa"/>
          </w:tcPr>
          <w:p w:rsidR="00846FC0" w:rsidRDefault="00846FC0" w:rsidP="00893BFD">
            <w:pPr>
              <w:spacing w:after="0" w:line="240" w:lineRule="auto"/>
              <w:rPr>
                <w:rFonts w:ascii="Century Gothic" w:hAnsi="Century Gothic" w:cs="Tahoma"/>
                <w:b/>
                <w:bCs/>
                <w:color w:val="000000"/>
              </w:rPr>
            </w:pPr>
            <w:r>
              <w:rPr>
                <w:rFonts w:ascii="Century Gothic" w:hAnsi="Century Gothic" w:cs="Tahoma"/>
                <w:b/>
                <w:bCs/>
                <w:color w:val="000000"/>
              </w:rPr>
              <w:t xml:space="preserve"> Other conflict and Unseen Poetry</w:t>
            </w:r>
          </w:p>
        </w:tc>
      </w:tr>
      <w:tr w:rsidR="00846FC0" w:rsidRPr="00CB1832" w:rsidTr="00846FC0">
        <w:trPr>
          <w:trHeight w:val="808"/>
        </w:trPr>
        <w:tc>
          <w:tcPr>
            <w:tcW w:w="1679" w:type="dxa"/>
          </w:tcPr>
          <w:p w:rsidR="00846FC0" w:rsidRPr="00CB1832" w:rsidRDefault="00846FC0" w:rsidP="00020F31">
            <w:pPr>
              <w:spacing w:after="0" w:line="240" w:lineRule="auto"/>
              <w:rPr>
                <w:rFonts w:ascii="Century Gothic" w:hAnsi="Century Gothic" w:cs="Tahoma"/>
                <w:b/>
                <w:bCs/>
                <w:color w:val="000000"/>
              </w:rPr>
            </w:pPr>
            <w:r w:rsidRPr="00CB1832">
              <w:rPr>
                <w:rFonts w:ascii="Century Gothic" w:hAnsi="Century Gothic" w:cs="Tahoma"/>
                <w:b/>
                <w:bCs/>
                <w:color w:val="000000"/>
              </w:rPr>
              <w:t>Knowledge</w:t>
            </w:r>
          </w:p>
        </w:tc>
        <w:tc>
          <w:tcPr>
            <w:tcW w:w="4128" w:type="dxa"/>
          </w:tcPr>
          <w:p w:rsidR="00846FC0" w:rsidRDefault="00846FC0" w:rsidP="00020F31">
            <w:pPr>
              <w:spacing w:after="0" w:line="240" w:lineRule="auto"/>
              <w:rPr>
                <w:rFonts w:ascii="Century Gothic" w:hAnsi="Century Gothic" w:cs="Tahoma"/>
                <w:bCs/>
                <w:color w:val="000000"/>
              </w:rPr>
            </w:pPr>
            <w:r w:rsidRPr="00846FC0">
              <w:rPr>
                <w:rFonts w:ascii="Century Gothic" w:hAnsi="Century Gothic" w:cs="Tahoma"/>
                <w:b/>
                <w:bCs/>
                <w:color w:val="000000"/>
              </w:rPr>
              <w:t>Character:</w:t>
            </w:r>
            <w:r>
              <w:rPr>
                <w:rFonts w:ascii="Century Gothic" w:hAnsi="Century Gothic" w:cs="Tahoma"/>
                <w:bCs/>
                <w:color w:val="000000"/>
              </w:rPr>
              <w:t xml:space="preserve"> To know, understand and link the characters from the play.</w:t>
            </w:r>
          </w:p>
          <w:p w:rsidR="00846FC0" w:rsidRDefault="00846FC0" w:rsidP="00020F31">
            <w:pPr>
              <w:spacing w:after="0" w:line="240" w:lineRule="auto"/>
              <w:rPr>
                <w:rFonts w:ascii="Century Gothic" w:hAnsi="Century Gothic" w:cs="Tahoma"/>
                <w:bCs/>
                <w:color w:val="000000"/>
              </w:rPr>
            </w:pPr>
          </w:p>
          <w:p w:rsidR="00846FC0" w:rsidRDefault="00846FC0" w:rsidP="00020F31">
            <w:pPr>
              <w:spacing w:after="0" w:line="240" w:lineRule="auto"/>
              <w:rPr>
                <w:rFonts w:ascii="Century Gothic" w:hAnsi="Century Gothic" w:cs="Tahoma"/>
                <w:bCs/>
                <w:color w:val="000000"/>
              </w:rPr>
            </w:pPr>
            <w:r w:rsidRPr="00DE0C98">
              <w:rPr>
                <w:rFonts w:ascii="Century Gothic" w:hAnsi="Century Gothic" w:cs="Tahoma"/>
                <w:b/>
                <w:bCs/>
                <w:color w:val="000000"/>
              </w:rPr>
              <w:t>High level vocabulary:</w:t>
            </w:r>
            <w:r>
              <w:rPr>
                <w:rFonts w:ascii="Century Gothic" w:hAnsi="Century Gothic" w:cs="Tahoma"/>
                <w:bCs/>
                <w:color w:val="000000"/>
              </w:rPr>
              <w:t xml:space="preserve"> To explore the presentation of </w:t>
            </w:r>
            <w:r w:rsidR="00DE0C98">
              <w:rPr>
                <w:rFonts w:ascii="Century Gothic" w:hAnsi="Century Gothic" w:cs="Tahoma"/>
                <w:bCs/>
                <w:color w:val="000000"/>
              </w:rPr>
              <w:t>characters using high level vocabulary.</w:t>
            </w:r>
          </w:p>
          <w:p w:rsidR="00DE0C98" w:rsidRDefault="00DE0C98" w:rsidP="00020F31">
            <w:pPr>
              <w:spacing w:after="0" w:line="240" w:lineRule="auto"/>
              <w:rPr>
                <w:rFonts w:ascii="Century Gothic" w:hAnsi="Century Gothic" w:cs="Tahoma"/>
                <w:bCs/>
                <w:color w:val="000000"/>
              </w:rPr>
            </w:pPr>
          </w:p>
          <w:p w:rsidR="00DE0C98" w:rsidRDefault="00DE0C98" w:rsidP="00020F31">
            <w:pPr>
              <w:spacing w:after="0" w:line="240" w:lineRule="auto"/>
              <w:rPr>
                <w:rFonts w:ascii="Century Gothic" w:hAnsi="Century Gothic" w:cs="Tahoma"/>
                <w:bCs/>
                <w:color w:val="000000"/>
              </w:rPr>
            </w:pPr>
            <w:r w:rsidRPr="00DE0C98">
              <w:rPr>
                <w:rFonts w:ascii="Century Gothic" w:hAnsi="Century Gothic" w:cs="Tahoma"/>
                <w:b/>
                <w:bCs/>
                <w:color w:val="000000"/>
              </w:rPr>
              <w:t>Themes:</w:t>
            </w:r>
            <w:r>
              <w:rPr>
                <w:rFonts w:ascii="Century Gothic" w:hAnsi="Century Gothic" w:cs="Tahoma"/>
                <w:bCs/>
                <w:color w:val="000000"/>
              </w:rPr>
              <w:t xml:space="preserve"> To have confident knowledge of themes in the play and events/ characters who link to these themes. </w:t>
            </w:r>
          </w:p>
          <w:p w:rsidR="00DE0C98" w:rsidRDefault="00DE0C98" w:rsidP="00020F31">
            <w:pPr>
              <w:spacing w:after="0" w:line="240" w:lineRule="auto"/>
              <w:rPr>
                <w:rFonts w:ascii="Century Gothic" w:hAnsi="Century Gothic" w:cs="Tahoma"/>
                <w:bCs/>
                <w:color w:val="000000"/>
              </w:rPr>
            </w:pPr>
          </w:p>
          <w:p w:rsidR="00DE0C98" w:rsidRDefault="00DE0C98" w:rsidP="00020F31">
            <w:pPr>
              <w:spacing w:after="0" w:line="240" w:lineRule="auto"/>
              <w:rPr>
                <w:rFonts w:ascii="Century Gothic" w:hAnsi="Century Gothic" w:cs="Tahoma"/>
                <w:bCs/>
                <w:color w:val="000000"/>
              </w:rPr>
            </w:pPr>
            <w:r>
              <w:rPr>
                <w:rFonts w:ascii="Century Gothic" w:hAnsi="Century Gothic" w:cs="Tahoma"/>
                <w:bCs/>
                <w:color w:val="000000"/>
              </w:rPr>
              <w:t xml:space="preserve">Plot and story structure: To understand the events and the order in which they happen. </w:t>
            </w:r>
          </w:p>
          <w:p w:rsidR="00DE0C98" w:rsidRDefault="00DE0C98" w:rsidP="00020F31">
            <w:pPr>
              <w:spacing w:after="0" w:line="240" w:lineRule="auto"/>
              <w:rPr>
                <w:rFonts w:ascii="Century Gothic" w:hAnsi="Century Gothic" w:cs="Tahoma"/>
                <w:bCs/>
                <w:color w:val="000000"/>
              </w:rPr>
            </w:pPr>
          </w:p>
          <w:p w:rsidR="00DE0C98" w:rsidRDefault="00DE0C98" w:rsidP="00020F31">
            <w:pPr>
              <w:spacing w:after="0" w:line="240" w:lineRule="auto"/>
              <w:rPr>
                <w:rFonts w:ascii="Century Gothic" w:hAnsi="Century Gothic" w:cs="Tahoma"/>
                <w:bCs/>
                <w:color w:val="000000"/>
              </w:rPr>
            </w:pPr>
            <w:r w:rsidRPr="00DE0C98">
              <w:rPr>
                <w:rFonts w:ascii="Century Gothic" w:hAnsi="Century Gothic" w:cs="Tahoma"/>
                <w:b/>
                <w:bCs/>
                <w:color w:val="000000"/>
              </w:rPr>
              <w:t>Context:</w:t>
            </w:r>
            <w:r>
              <w:rPr>
                <w:rFonts w:ascii="Century Gothic" w:hAnsi="Century Gothic" w:cs="Tahoma"/>
                <w:bCs/>
                <w:color w:val="000000"/>
              </w:rPr>
              <w:t xml:space="preserve"> To know the context of the story and how it influences the </w:t>
            </w:r>
            <w:r>
              <w:rPr>
                <w:rFonts w:ascii="Century Gothic" w:hAnsi="Century Gothic" w:cs="Tahoma"/>
                <w:bCs/>
                <w:color w:val="000000"/>
              </w:rPr>
              <w:lastRenderedPageBreak/>
              <w:t xml:space="preserve">presentations and interpretations of characters. </w:t>
            </w:r>
          </w:p>
          <w:p w:rsidR="00DE0C98" w:rsidRPr="00CB1832" w:rsidRDefault="00DE0C98" w:rsidP="00020F31">
            <w:pPr>
              <w:spacing w:after="0" w:line="240" w:lineRule="auto"/>
              <w:rPr>
                <w:rFonts w:ascii="Century Gothic" w:hAnsi="Century Gothic" w:cs="Tahoma"/>
                <w:bCs/>
                <w:color w:val="000000"/>
              </w:rPr>
            </w:pPr>
          </w:p>
        </w:tc>
        <w:tc>
          <w:tcPr>
            <w:tcW w:w="4678" w:type="dxa"/>
          </w:tcPr>
          <w:p w:rsidR="00846FC0" w:rsidRDefault="00DE0C98" w:rsidP="00020F31">
            <w:pPr>
              <w:spacing w:after="0" w:line="240" w:lineRule="auto"/>
              <w:rPr>
                <w:rFonts w:ascii="Century Gothic" w:hAnsi="Century Gothic" w:cs="Tahoma"/>
                <w:bCs/>
                <w:color w:val="000000"/>
              </w:rPr>
            </w:pPr>
            <w:r w:rsidRPr="00DE0C98">
              <w:rPr>
                <w:rFonts w:ascii="Century Gothic" w:hAnsi="Century Gothic" w:cs="Tahoma"/>
                <w:b/>
                <w:bCs/>
                <w:color w:val="000000"/>
              </w:rPr>
              <w:lastRenderedPageBreak/>
              <w:t>Reading and inference skills:</w:t>
            </w:r>
            <w:r>
              <w:rPr>
                <w:rFonts w:ascii="Century Gothic" w:hAnsi="Century Gothic" w:cs="Tahoma"/>
                <w:bCs/>
                <w:color w:val="000000"/>
              </w:rPr>
              <w:t xml:space="preserve"> Students need to understand how to actively read and extract to annotate for key points.</w:t>
            </w:r>
          </w:p>
          <w:p w:rsidR="00DE0C98" w:rsidRDefault="00DE0C98" w:rsidP="00020F31">
            <w:pPr>
              <w:spacing w:after="0" w:line="240" w:lineRule="auto"/>
              <w:rPr>
                <w:rFonts w:ascii="Century Gothic" w:hAnsi="Century Gothic" w:cs="Tahoma"/>
                <w:bCs/>
                <w:color w:val="000000"/>
              </w:rPr>
            </w:pPr>
          </w:p>
          <w:p w:rsidR="00DE0C98" w:rsidRDefault="00DE0C98" w:rsidP="00020F31">
            <w:pPr>
              <w:spacing w:after="0" w:line="240" w:lineRule="auto"/>
              <w:rPr>
                <w:rFonts w:ascii="Century Gothic" w:hAnsi="Century Gothic" w:cs="Tahoma"/>
                <w:bCs/>
                <w:color w:val="000000"/>
              </w:rPr>
            </w:pPr>
            <w:r w:rsidRPr="00DE0C98">
              <w:rPr>
                <w:rFonts w:ascii="Century Gothic" w:hAnsi="Century Gothic" w:cs="Tahoma"/>
                <w:b/>
                <w:bCs/>
                <w:color w:val="000000"/>
              </w:rPr>
              <w:t>Comparison skills:</w:t>
            </w:r>
            <w:r>
              <w:rPr>
                <w:rFonts w:ascii="Century Gothic" w:hAnsi="Century Gothic" w:cs="Tahoma"/>
                <w:bCs/>
                <w:color w:val="000000"/>
              </w:rPr>
              <w:t xml:space="preserve"> Students needs to understand what it means to compare and how to successfully compare two different texts. </w:t>
            </w:r>
          </w:p>
          <w:p w:rsidR="00DE0C98" w:rsidRDefault="00DE0C98" w:rsidP="00020F31">
            <w:pPr>
              <w:spacing w:after="0" w:line="240" w:lineRule="auto"/>
              <w:rPr>
                <w:rFonts w:ascii="Century Gothic" w:hAnsi="Century Gothic" w:cs="Tahoma"/>
                <w:bCs/>
                <w:color w:val="000000"/>
              </w:rPr>
            </w:pPr>
          </w:p>
          <w:p w:rsidR="00DE0C98" w:rsidRPr="00CB1832" w:rsidRDefault="00DE0C98" w:rsidP="00020F31">
            <w:pPr>
              <w:spacing w:after="0" w:line="240" w:lineRule="auto"/>
              <w:rPr>
                <w:rFonts w:ascii="Century Gothic" w:hAnsi="Century Gothic" w:cs="Tahoma"/>
                <w:bCs/>
                <w:color w:val="000000"/>
              </w:rPr>
            </w:pPr>
            <w:r w:rsidRPr="00DE0C98">
              <w:rPr>
                <w:rFonts w:ascii="Century Gothic" w:hAnsi="Century Gothic" w:cs="Tahoma"/>
                <w:b/>
                <w:bCs/>
                <w:color w:val="000000"/>
              </w:rPr>
              <w:t>Transactional Writing:</w:t>
            </w:r>
            <w:r>
              <w:rPr>
                <w:rFonts w:ascii="Century Gothic" w:hAnsi="Century Gothic" w:cs="Tahoma"/>
                <w:bCs/>
                <w:color w:val="000000"/>
              </w:rPr>
              <w:t xml:space="preserve"> Students need to understand what transactional writing is and how to structure and succinct argument with a range of ideas. </w:t>
            </w:r>
          </w:p>
        </w:tc>
        <w:tc>
          <w:tcPr>
            <w:tcW w:w="5094" w:type="dxa"/>
          </w:tcPr>
          <w:p w:rsidR="00DE0C98" w:rsidRPr="00D8192C" w:rsidRDefault="00DE0C98" w:rsidP="00DE0C98">
            <w:pPr>
              <w:spacing w:after="0" w:line="240" w:lineRule="auto"/>
              <w:rPr>
                <w:rFonts w:ascii="Century Gothic" w:hAnsi="Century Gothic" w:cs="Tahoma"/>
                <w:bCs/>
                <w:color w:val="000000"/>
              </w:rPr>
            </w:pPr>
            <w:r w:rsidRPr="007151BA">
              <w:rPr>
                <w:rFonts w:ascii="Century Gothic" w:hAnsi="Century Gothic" w:cs="Tahoma"/>
                <w:bCs/>
                <w:color w:val="000000"/>
              </w:rPr>
              <w:t>Key learning topics will include:</w:t>
            </w:r>
          </w:p>
          <w:p w:rsidR="00DE0C98" w:rsidRDefault="00DE0C98" w:rsidP="00DE0C98">
            <w:pPr>
              <w:pStyle w:val="ListParagraph"/>
              <w:numPr>
                <w:ilvl w:val="0"/>
                <w:numId w:val="25"/>
              </w:numPr>
              <w:spacing w:after="0" w:line="240" w:lineRule="auto"/>
              <w:rPr>
                <w:rFonts w:ascii="Century Gothic" w:hAnsi="Century Gothic" w:cs="Tahoma"/>
                <w:bCs/>
                <w:color w:val="000000"/>
              </w:rPr>
            </w:pPr>
            <w:r>
              <w:rPr>
                <w:rFonts w:ascii="Century Gothic" w:hAnsi="Century Gothic" w:cs="Tahoma"/>
                <w:bCs/>
                <w:color w:val="000000"/>
              </w:rPr>
              <w:t>Plot</w:t>
            </w:r>
          </w:p>
          <w:p w:rsidR="00DE0C98" w:rsidRDefault="00DE0C98" w:rsidP="00DE0C98">
            <w:pPr>
              <w:pStyle w:val="ListParagraph"/>
              <w:numPr>
                <w:ilvl w:val="0"/>
                <w:numId w:val="25"/>
              </w:numPr>
              <w:spacing w:after="0" w:line="240" w:lineRule="auto"/>
              <w:rPr>
                <w:rFonts w:ascii="Century Gothic" w:hAnsi="Century Gothic" w:cs="Tahoma"/>
                <w:bCs/>
                <w:color w:val="000000"/>
              </w:rPr>
            </w:pPr>
            <w:r>
              <w:rPr>
                <w:rFonts w:ascii="Century Gothic" w:hAnsi="Century Gothic" w:cs="Tahoma"/>
                <w:bCs/>
                <w:color w:val="000000"/>
              </w:rPr>
              <w:t>Context</w:t>
            </w:r>
          </w:p>
          <w:p w:rsidR="00DE0C98" w:rsidRDefault="00DE0C98" w:rsidP="00DE0C98">
            <w:pPr>
              <w:pStyle w:val="ListParagraph"/>
              <w:numPr>
                <w:ilvl w:val="0"/>
                <w:numId w:val="25"/>
              </w:numPr>
              <w:spacing w:after="0" w:line="240" w:lineRule="auto"/>
              <w:rPr>
                <w:rFonts w:ascii="Century Gothic" w:hAnsi="Century Gothic" w:cs="Tahoma"/>
                <w:bCs/>
                <w:color w:val="000000"/>
              </w:rPr>
            </w:pPr>
            <w:r>
              <w:rPr>
                <w:rFonts w:ascii="Century Gothic" w:hAnsi="Century Gothic" w:cs="Tahoma"/>
                <w:bCs/>
                <w:color w:val="000000"/>
              </w:rPr>
              <w:t>Authorial Intent</w:t>
            </w:r>
          </w:p>
          <w:p w:rsidR="00DE0C98" w:rsidRDefault="00DE0C98" w:rsidP="00DE0C98">
            <w:pPr>
              <w:pStyle w:val="ListParagraph"/>
              <w:numPr>
                <w:ilvl w:val="0"/>
                <w:numId w:val="25"/>
              </w:numPr>
              <w:spacing w:after="0" w:line="240" w:lineRule="auto"/>
              <w:rPr>
                <w:rFonts w:ascii="Century Gothic" w:hAnsi="Century Gothic" w:cs="Tahoma"/>
                <w:bCs/>
                <w:color w:val="000000"/>
              </w:rPr>
            </w:pPr>
            <w:r>
              <w:rPr>
                <w:rFonts w:ascii="Century Gothic" w:hAnsi="Century Gothic" w:cs="Tahoma"/>
                <w:bCs/>
                <w:color w:val="000000"/>
              </w:rPr>
              <w:t>Themes</w:t>
            </w:r>
          </w:p>
          <w:p w:rsidR="00DE0C98" w:rsidRPr="007151BA" w:rsidRDefault="00DE0C98" w:rsidP="00DE0C98">
            <w:pPr>
              <w:pStyle w:val="ListParagraph"/>
              <w:numPr>
                <w:ilvl w:val="0"/>
                <w:numId w:val="25"/>
              </w:numPr>
              <w:spacing w:after="0" w:line="240" w:lineRule="auto"/>
              <w:rPr>
                <w:rFonts w:ascii="Century Gothic" w:hAnsi="Century Gothic" w:cs="Tahoma"/>
                <w:bCs/>
                <w:color w:val="000000"/>
              </w:rPr>
            </w:pPr>
            <w:r>
              <w:rPr>
                <w:rFonts w:ascii="Century Gothic" w:hAnsi="Century Gothic" w:cs="Tahoma"/>
                <w:bCs/>
                <w:color w:val="000000"/>
              </w:rPr>
              <w:t>Symbols &amp; Motifs</w:t>
            </w:r>
          </w:p>
          <w:p w:rsidR="00846FC0" w:rsidRPr="005A2CEB" w:rsidRDefault="00846FC0" w:rsidP="000438BE">
            <w:pPr>
              <w:spacing w:after="0" w:line="240" w:lineRule="auto"/>
              <w:rPr>
                <w:rFonts w:ascii="Century Gothic" w:hAnsi="Century Gothic" w:cs="Tahoma"/>
                <w:bCs/>
                <w:color w:val="000000"/>
                <w:u w:val="single"/>
              </w:rPr>
            </w:pPr>
          </w:p>
        </w:tc>
      </w:tr>
      <w:tr w:rsidR="00DE0C98" w:rsidRPr="00CB1832" w:rsidTr="00846FC0">
        <w:trPr>
          <w:trHeight w:val="863"/>
        </w:trPr>
        <w:tc>
          <w:tcPr>
            <w:tcW w:w="1679" w:type="dxa"/>
          </w:tcPr>
          <w:p w:rsidR="00DE0C98" w:rsidRPr="00CB1832" w:rsidRDefault="00DE0C98" w:rsidP="00DE0C98">
            <w:pPr>
              <w:spacing w:after="0" w:line="240" w:lineRule="auto"/>
              <w:rPr>
                <w:rFonts w:ascii="Century Gothic" w:hAnsi="Century Gothic" w:cs="Tahoma"/>
                <w:b/>
                <w:bCs/>
                <w:color w:val="000000"/>
              </w:rPr>
            </w:pPr>
            <w:r w:rsidRPr="00CB1832">
              <w:rPr>
                <w:rFonts w:ascii="Century Gothic" w:hAnsi="Century Gothic" w:cs="Tahoma"/>
                <w:b/>
                <w:bCs/>
                <w:color w:val="000000"/>
              </w:rPr>
              <w:t>Skills</w:t>
            </w:r>
          </w:p>
        </w:tc>
        <w:tc>
          <w:tcPr>
            <w:tcW w:w="4128" w:type="dxa"/>
          </w:tcPr>
          <w:p w:rsidR="00DE0C98" w:rsidRDefault="00DE0C98" w:rsidP="00DE0C98">
            <w:pPr>
              <w:spacing w:after="0" w:line="240" w:lineRule="auto"/>
              <w:rPr>
                <w:rFonts w:ascii="Century Gothic" w:hAnsi="Century Gothic" w:cs="Tahoma"/>
                <w:bCs/>
                <w:color w:val="000000"/>
              </w:rPr>
            </w:pPr>
          </w:p>
          <w:p w:rsidR="00DE0C98" w:rsidRDefault="00DE0C98" w:rsidP="00DE0C98">
            <w:pPr>
              <w:pStyle w:val="ListParagraph"/>
              <w:numPr>
                <w:ilvl w:val="0"/>
                <w:numId w:val="23"/>
              </w:numPr>
              <w:spacing w:after="0" w:line="240" w:lineRule="auto"/>
              <w:rPr>
                <w:rFonts w:ascii="Century Gothic" w:hAnsi="Century Gothic" w:cs="Tahoma"/>
                <w:bCs/>
                <w:color w:val="000000"/>
              </w:rPr>
            </w:pPr>
            <w:r w:rsidRPr="00846FC0">
              <w:rPr>
                <w:rFonts w:ascii="Century Gothic" w:hAnsi="Century Gothic" w:cs="Tahoma"/>
                <w:bCs/>
                <w:color w:val="000000"/>
              </w:rPr>
              <w:t>Explain in my own words what is happening in a given section of the play</w:t>
            </w:r>
            <w:r>
              <w:rPr>
                <w:rFonts w:ascii="Century Gothic" w:hAnsi="Century Gothic" w:cs="Tahoma"/>
                <w:bCs/>
                <w:color w:val="000000"/>
              </w:rPr>
              <w:t>.</w:t>
            </w:r>
          </w:p>
          <w:p w:rsidR="00DE0C98" w:rsidRDefault="00DE0C98" w:rsidP="00DE0C98">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 xml:space="preserve">Identify and analyse the use of language and structure to present characters and character relationships. </w:t>
            </w:r>
          </w:p>
          <w:p w:rsidR="00DE0C98" w:rsidRDefault="00DE0C98" w:rsidP="00DE0C98">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 xml:space="preserve">Explore the use of language and structure linked to authorial intent and purpose </w:t>
            </w:r>
          </w:p>
          <w:p w:rsidR="00DE0C98" w:rsidRDefault="00DE0C98" w:rsidP="00DE0C98">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Use high level vocabulary in character descriptions</w:t>
            </w:r>
          </w:p>
          <w:p w:rsidR="00DE0C98" w:rsidRDefault="00DE0C98" w:rsidP="00DE0C98">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Craft effective thesis statements at the start of essays around a theme of character.</w:t>
            </w:r>
          </w:p>
          <w:p w:rsidR="00DE0C98" w:rsidRPr="00846FC0" w:rsidRDefault="00DE0C98" w:rsidP="00DE0C98">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 xml:space="preserve">Craft successful essays which explore complex ideas from the novel. </w:t>
            </w:r>
          </w:p>
          <w:p w:rsidR="00DE0C98" w:rsidRDefault="00DE0C98" w:rsidP="00DE0C98">
            <w:pPr>
              <w:spacing w:after="0" w:line="240" w:lineRule="auto"/>
              <w:rPr>
                <w:rFonts w:ascii="Century Gothic" w:hAnsi="Century Gothic" w:cs="Tahoma"/>
                <w:bCs/>
                <w:color w:val="000000"/>
              </w:rPr>
            </w:pPr>
          </w:p>
          <w:p w:rsidR="00DE0C98" w:rsidRDefault="00DE0C98" w:rsidP="00DE0C98">
            <w:pPr>
              <w:spacing w:after="0" w:line="240" w:lineRule="auto"/>
              <w:rPr>
                <w:rFonts w:ascii="Century Gothic" w:hAnsi="Century Gothic" w:cs="Tahoma"/>
                <w:bCs/>
                <w:color w:val="000000"/>
              </w:rPr>
            </w:pPr>
          </w:p>
          <w:p w:rsidR="00DE0C98" w:rsidRDefault="00DE0C98" w:rsidP="00DE0C98">
            <w:pPr>
              <w:spacing w:after="0" w:line="240" w:lineRule="auto"/>
              <w:rPr>
                <w:rFonts w:ascii="Century Gothic" w:hAnsi="Century Gothic" w:cs="Tahoma"/>
                <w:bCs/>
                <w:color w:val="000000"/>
              </w:rPr>
            </w:pPr>
          </w:p>
          <w:p w:rsidR="00DE0C98" w:rsidRDefault="00DE0C98" w:rsidP="00DE0C98">
            <w:pPr>
              <w:spacing w:after="0" w:line="240" w:lineRule="auto"/>
              <w:rPr>
                <w:rFonts w:ascii="Century Gothic" w:hAnsi="Century Gothic" w:cs="Tahoma"/>
                <w:bCs/>
                <w:color w:val="000000"/>
              </w:rPr>
            </w:pPr>
          </w:p>
          <w:p w:rsidR="00DE0C98" w:rsidRDefault="00DE0C98" w:rsidP="00DE0C98">
            <w:pPr>
              <w:spacing w:after="0" w:line="240" w:lineRule="auto"/>
              <w:rPr>
                <w:rFonts w:ascii="Century Gothic" w:hAnsi="Century Gothic" w:cs="Tahoma"/>
                <w:bCs/>
                <w:color w:val="000000"/>
              </w:rPr>
            </w:pPr>
          </w:p>
          <w:p w:rsidR="00DE0C98" w:rsidRDefault="00DE0C98" w:rsidP="00DE0C98">
            <w:pPr>
              <w:spacing w:after="0" w:line="240" w:lineRule="auto"/>
              <w:rPr>
                <w:rFonts w:ascii="Century Gothic" w:hAnsi="Century Gothic" w:cs="Tahoma"/>
                <w:bCs/>
                <w:color w:val="000000"/>
              </w:rPr>
            </w:pPr>
          </w:p>
          <w:p w:rsidR="00DE0C98" w:rsidRDefault="00DE0C98" w:rsidP="00DE0C98">
            <w:pPr>
              <w:spacing w:after="0" w:line="240" w:lineRule="auto"/>
              <w:rPr>
                <w:rFonts w:ascii="Century Gothic" w:hAnsi="Century Gothic" w:cs="Tahoma"/>
                <w:bCs/>
                <w:color w:val="000000"/>
              </w:rPr>
            </w:pPr>
          </w:p>
          <w:p w:rsidR="00DE0C98" w:rsidRPr="00CB1832" w:rsidRDefault="00DE0C98" w:rsidP="00DE0C98">
            <w:pPr>
              <w:spacing w:after="0" w:line="240" w:lineRule="auto"/>
              <w:rPr>
                <w:rFonts w:ascii="Century Gothic" w:hAnsi="Century Gothic" w:cs="Tahoma"/>
                <w:bCs/>
                <w:color w:val="000000"/>
              </w:rPr>
            </w:pPr>
          </w:p>
        </w:tc>
        <w:tc>
          <w:tcPr>
            <w:tcW w:w="4678" w:type="dxa"/>
          </w:tcPr>
          <w:p w:rsidR="00DE0C98" w:rsidRDefault="00DE0C98" w:rsidP="00DE0C98">
            <w:pPr>
              <w:spacing w:after="0" w:line="240" w:lineRule="auto"/>
              <w:rPr>
                <w:rFonts w:ascii="Century Gothic" w:hAnsi="Century Gothic" w:cs="Tahoma"/>
                <w:bCs/>
                <w:color w:val="000000"/>
              </w:rPr>
            </w:pPr>
          </w:p>
          <w:p w:rsidR="00DE0C98" w:rsidRDefault="00DE0C98" w:rsidP="00DE0C98">
            <w:pPr>
              <w:pStyle w:val="ListParagraph"/>
              <w:numPr>
                <w:ilvl w:val="0"/>
                <w:numId w:val="24"/>
              </w:numPr>
              <w:spacing w:after="0" w:line="240" w:lineRule="auto"/>
              <w:rPr>
                <w:rFonts w:ascii="Century Gothic" w:hAnsi="Century Gothic" w:cs="Tahoma"/>
                <w:bCs/>
                <w:color w:val="000000"/>
              </w:rPr>
            </w:pPr>
            <w:r>
              <w:rPr>
                <w:rFonts w:ascii="Century Gothic" w:hAnsi="Century Gothic" w:cs="Tahoma"/>
                <w:bCs/>
                <w:color w:val="000000"/>
              </w:rPr>
              <w:t>Analyse the use of language and structure in two texts.</w:t>
            </w:r>
          </w:p>
          <w:p w:rsidR="00DE0C98" w:rsidRDefault="00DE0C98" w:rsidP="00DE0C98">
            <w:pPr>
              <w:pStyle w:val="ListParagraph"/>
              <w:numPr>
                <w:ilvl w:val="0"/>
                <w:numId w:val="24"/>
              </w:numPr>
              <w:spacing w:after="0" w:line="240" w:lineRule="auto"/>
              <w:rPr>
                <w:rFonts w:ascii="Century Gothic" w:hAnsi="Century Gothic" w:cs="Tahoma"/>
                <w:bCs/>
                <w:color w:val="000000"/>
              </w:rPr>
            </w:pPr>
            <w:r>
              <w:rPr>
                <w:rFonts w:ascii="Century Gothic" w:hAnsi="Century Gothic" w:cs="Tahoma"/>
                <w:bCs/>
                <w:color w:val="000000"/>
              </w:rPr>
              <w:t>Finding at least three similarities between two texts.</w:t>
            </w:r>
          </w:p>
          <w:p w:rsidR="00DE0C98" w:rsidRDefault="00DE0C98" w:rsidP="00DE0C98">
            <w:pPr>
              <w:pStyle w:val="ListParagraph"/>
              <w:numPr>
                <w:ilvl w:val="0"/>
                <w:numId w:val="24"/>
              </w:numPr>
              <w:spacing w:after="0" w:line="240" w:lineRule="auto"/>
              <w:rPr>
                <w:rFonts w:ascii="Century Gothic" w:hAnsi="Century Gothic" w:cs="Tahoma"/>
                <w:bCs/>
                <w:color w:val="000000"/>
              </w:rPr>
            </w:pPr>
            <w:r>
              <w:rPr>
                <w:rFonts w:ascii="Century Gothic" w:hAnsi="Century Gothic" w:cs="Tahoma"/>
                <w:bCs/>
                <w:color w:val="000000"/>
              </w:rPr>
              <w:t xml:space="preserve">Compare two texts together with a reference to the ideas and perspective of a writing. </w:t>
            </w:r>
          </w:p>
          <w:p w:rsidR="00DE0C98" w:rsidRDefault="00DE0C98" w:rsidP="00DE0C98">
            <w:pPr>
              <w:pStyle w:val="ListParagraph"/>
              <w:numPr>
                <w:ilvl w:val="0"/>
                <w:numId w:val="24"/>
              </w:numPr>
              <w:spacing w:after="0" w:line="240" w:lineRule="auto"/>
              <w:rPr>
                <w:rFonts w:ascii="Century Gothic" w:hAnsi="Century Gothic" w:cs="Tahoma"/>
                <w:bCs/>
                <w:color w:val="000000"/>
              </w:rPr>
            </w:pPr>
            <w:r>
              <w:rPr>
                <w:rFonts w:ascii="Century Gothic" w:hAnsi="Century Gothic" w:cs="Tahoma"/>
                <w:bCs/>
                <w:color w:val="000000"/>
              </w:rPr>
              <w:t>Craft writing linked to a topic where they start their own opinions</w:t>
            </w:r>
          </w:p>
          <w:p w:rsidR="00DE0C98" w:rsidRDefault="00DE0C98" w:rsidP="00DE0C98">
            <w:pPr>
              <w:pStyle w:val="ListParagraph"/>
              <w:numPr>
                <w:ilvl w:val="0"/>
                <w:numId w:val="24"/>
              </w:numPr>
              <w:spacing w:after="0" w:line="240" w:lineRule="auto"/>
              <w:rPr>
                <w:rFonts w:ascii="Century Gothic" w:hAnsi="Century Gothic" w:cs="Tahoma"/>
                <w:bCs/>
                <w:color w:val="000000"/>
              </w:rPr>
            </w:pPr>
            <w:r>
              <w:rPr>
                <w:rFonts w:ascii="Century Gothic" w:hAnsi="Century Gothic" w:cs="Tahoma"/>
                <w:bCs/>
                <w:color w:val="000000"/>
              </w:rPr>
              <w:t xml:space="preserve">To write for a range of different forms, purposes and audiences. </w:t>
            </w:r>
          </w:p>
          <w:p w:rsidR="00DE0C98" w:rsidRPr="00DE0C98" w:rsidRDefault="00DE0C98" w:rsidP="00DE0C98">
            <w:pPr>
              <w:pStyle w:val="ListParagraph"/>
              <w:numPr>
                <w:ilvl w:val="0"/>
                <w:numId w:val="24"/>
              </w:numPr>
              <w:spacing w:after="0" w:line="240" w:lineRule="auto"/>
              <w:rPr>
                <w:rFonts w:ascii="Century Gothic" w:hAnsi="Century Gothic" w:cs="Tahoma"/>
                <w:bCs/>
                <w:color w:val="000000"/>
              </w:rPr>
            </w:pPr>
            <w:r>
              <w:rPr>
                <w:rFonts w:ascii="Century Gothic" w:hAnsi="Century Gothic" w:cs="Tahoma"/>
                <w:bCs/>
                <w:color w:val="000000"/>
              </w:rPr>
              <w:t xml:space="preserve">To use high level vocabulary and punctuation to support their points. </w:t>
            </w:r>
          </w:p>
        </w:tc>
        <w:tc>
          <w:tcPr>
            <w:tcW w:w="5094" w:type="dxa"/>
          </w:tcPr>
          <w:p w:rsidR="00DE0C98" w:rsidRDefault="00DE0C98" w:rsidP="00DE0C98">
            <w:pPr>
              <w:pStyle w:val="ListParagraph"/>
              <w:numPr>
                <w:ilvl w:val="0"/>
                <w:numId w:val="27"/>
              </w:numPr>
              <w:spacing w:after="0" w:line="240" w:lineRule="auto"/>
              <w:rPr>
                <w:rFonts w:ascii="Century Gothic" w:hAnsi="Century Gothic" w:cs="Tahoma"/>
                <w:bCs/>
                <w:color w:val="000000"/>
              </w:rPr>
            </w:pPr>
            <w:r w:rsidRPr="00192CBF">
              <w:rPr>
                <w:rFonts w:ascii="Century Gothic" w:hAnsi="Century Gothic" w:cs="Tahoma"/>
                <w:bCs/>
                <w:color w:val="000000"/>
              </w:rPr>
              <w:t>Show an awa</w:t>
            </w:r>
            <w:r>
              <w:rPr>
                <w:rFonts w:ascii="Century Gothic" w:hAnsi="Century Gothic" w:cs="Tahoma"/>
                <w:bCs/>
                <w:color w:val="000000"/>
              </w:rPr>
              <w:t xml:space="preserve">reness of the writer’s methods </w:t>
            </w:r>
          </w:p>
          <w:p w:rsidR="00DE0C98" w:rsidRDefault="00DE0C98" w:rsidP="00DE0C98">
            <w:pPr>
              <w:pStyle w:val="ListParagraph"/>
              <w:numPr>
                <w:ilvl w:val="0"/>
                <w:numId w:val="27"/>
              </w:numPr>
              <w:spacing w:after="0" w:line="240" w:lineRule="auto"/>
              <w:rPr>
                <w:rFonts w:ascii="Century Gothic" w:hAnsi="Century Gothic" w:cs="Tahoma"/>
                <w:bCs/>
                <w:color w:val="000000"/>
              </w:rPr>
            </w:pPr>
            <w:r w:rsidRPr="00192CBF">
              <w:rPr>
                <w:rFonts w:ascii="Century Gothic" w:hAnsi="Century Gothic" w:cs="Tahoma"/>
                <w:bCs/>
                <w:color w:val="000000"/>
              </w:rPr>
              <w:t xml:space="preserve">Include subject terminology confidently when </w:t>
            </w:r>
            <w:r>
              <w:rPr>
                <w:rFonts w:ascii="Century Gothic" w:hAnsi="Century Gothic" w:cs="Tahoma"/>
                <w:bCs/>
                <w:color w:val="000000"/>
              </w:rPr>
              <w:t>analysing and writing responses</w:t>
            </w:r>
          </w:p>
          <w:p w:rsidR="00DE0C98" w:rsidRDefault="00DE0C98" w:rsidP="00DE0C98">
            <w:pPr>
              <w:pStyle w:val="ListParagraph"/>
              <w:numPr>
                <w:ilvl w:val="0"/>
                <w:numId w:val="27"/>
              </w:numPr>
              <w:spacing w:after="0" w:line="240" w:lineRule="auto"/>
              <w:rPr>
                <w:rFonts w:ascii="Century Gothic" w:hAnsi="Century Gothic" w:cs="Tahoma"/>
                <w:bCs/>
                <w:color w:val="000000"/>
              </w:rPr>
            </w:pPr>
            <w:r w:rsidRPr="00192CBF">
              <w:rPr>
                <w:rFonts w:ascii="Century Gothic" w:hAnsi="Century Gothic" w:cs="Tahoma"/>
                <w:bCs/>
                <w:color w:val="000000"/>
              </w:rPr>
              <w:t>Plan essays successfully to ensure that th</w:t>
            </w:r>
            <w:r>
              <w:rPr>
                <w:rFonts w:ascii="Century Gothic" w:hAnsi="Century Gothic" w:cs="Tahoma"/>
                <w:bCs/>
                <w:color w:val="000000"/>
              </w:rPr>
              <w:t>ey are thoughtful and developed</w:t>
            </w:r>
          </w:p>
          <w:p w:rsidR="00DE0C98" w:rsidRDefault="00DE0C98" w:rsidP="00DE0C98">
            <w:pPr>
              <w:pStyle w:val="ListParagraph"/>
              <w:numPr>
                <w:ilvl w:val="0"/>
                <w:numId w:val="27"/>
              </w:numPr>
              <w:spacing w:after="0" w:line="240" w:lineRule="auto"/>
              <w:rPr>
                <w:rFonts w:ascii="Century Gothic" w:hAnsi="Century Gothic" w:cs="Tahoma"/>
                <w:bCs/>
                <w:color w:val="000000"/>
              </w:rPr>
            </w:pPr>
            <w:r w:rsidRPr="00192CBF">
              <w:rPr>
                <w:rFonts w:ascii="Century Gothic" w:hAnsi="Century Gothic" w:cs="Tahoma"/>
                <w:bCs/>
                <w:color w:val="000000"/>
              </w:rPr>
              <w:t>Structure a co</w:t>
            </w:r>
            <w:r>
              <w:rPr>
                <w:rFonts w:ascii="Century Gothic" w:hAnsi="Century Gothic" w:cs="Tahoma"/>
                <w:bCs/>
                <w:color w:val="000000"/>
              </w:rPr>
              <w:t xml:space="preserve">herent and sophisticated essay </w:t>
            </w:r>
          </w:p>
          <w:p w:rsidR="00DE0C98" w:rsidRDefault="00DE0C98" w:rsidP="00DE0C98">
            <w:pPr>
              <w:pStyle w:val="ListParagraph"/>
              <w:numPr>
                <w:ilvl w:val="0"/>
                <w:numId w:val="27"/>
              </w:numPr>
              <w:spacing w:after="0" w:line="240" w:lineRule="auto"/>
              <w:rPr>
                <w:rFonts w:ascii="Century Gothic" w:hAnsi="Century Gothic" w:cs="Tahoma"/>
                <w:bCs/>
                <w:color w:val="000000"/>
              </w:rPr>
            </w:pPr>
            <w:r w:rsidRPr="00192CBF">
              <w:rPr>
                <w:rFonts w:ascii="Century Gothic" w:hAnsi="Century Gothic" w:cs="Tahoma"/>
                <w:bCs/>
                <w:color w:val="000000"/>
              </w:rPr>
              <w:t>Analyse the use of langua</w:t>
            </w:r>
            <w:r>
              <w:rPr>
                <w:rFonts w:ascii="Century Gothic" w:hAnsi="Century Gothic" w:cs="Tahoma"/>
                <w:bCs/>
                <w:color w:val="000000"/>
              </w:rPr>
              <w:t>ge and its impact on the reader</w:t>
            </w:r>
          </w:p>
          <w:p w:rsidR="00DE0C98" w:rsidRDefault="00DE0C98" w:rsidP="00DE0C98">
            <w:pPr>
              <w:pStyle w:val="ListParagraph"/>
              <w:numPr>
                <w:ilvl w:val="0"/>
                <w:numId w:val="27"/>
              </w:numPr>
              <w:spacing w:after="0" w:line="240" w:lineRule="auto"/>
              <w:rPr>
                <w:rFonts w:ascii="Century Gothic" w:hAnsi="Century Gothic" w:cs="Tahoma"/>
                <w:bCs/>
                <w:color w:val="000000"/>
              </w:rPr>
            </w:pPr>
            <w:r w:rsidRPr="00192CBF">
              <w:rPr>
                <w:rFonts w:ascii="Century Gothic" w:hAnsi="Century Gothic" w:cs="Tahoma"/>
                <w:bCs/>
                <w:color w:val="000000"/>
              </w:rPr>
              <w:t>Understand the context of a text and how that links w</w:t>
            </w:r>
            <w:r>
              <w:rPr>
                <w:rFonts w:ascii="Century Gothic" w:hAnsi="Century Gothic" w:cs="Tahoma"/>
                <w:bCs/>
                <w:color w:val="000000"/>
              </w:rPr>
              <w:t xml:space="preserve">ith the ideas within that text </w:t>
            </w:r>
          </w:p>
          <w:p w:rsidR="00DE0C98" w:rsidRPr="007151BA" w:rsidRDefault="00DE0C98" w:rsidP="00DE0C98">
            <w:pPr>
              <w:pStyle w:val="ListParagraph"/>
              <w:numPr>
                <w:ilvl w:val="0"/>
                <w:numId w:val="27"/>
              </w:numPr>
              <w:spacing w:after="0" w:line="240" w:lineRule="auto"/>
              <w:rPr>
                <w:rFonts w:ascii="Century Gothic" w:hAnsi="Century Gothic" w:cs="Tahoma"/>
                <w:bCs/>
                <w:color w:val="000000"/>
              </w:rPr>
            </w:pPr>
            <w:r w:rsidRPr="00192CBF">
              <w:rPr>
                <w:rFonts w:ascii="Century Gothic" w:hAnsi="Century Gothic" w:cs="Tahoma"/>
                <w:bCs/>
                <w:color w:val="000000"/>
              </w:rPr>
              <w:t xml:space="preserve">Embed a range of quotes and references to support their ideas </w:t>
            </w:r>
          </w:p>
          <w:p w:rsidR="00DE0C98" w:rsidRPr="00CE5522" w:rsidRDefault="00DE0C98" w:rsidP="00DE0C98">
            <w:pPr>
              <w:spacing w:after="0" w:line="240" w:lineRule="auto"/>
              <w:ind w:left="720"/>
              <w:contextualSpacing/>
              <w:rPr>
                <w:rFonts w:ascii="Century Gothic" w:hAnsi="Century Gothic" w:cs="Tahoma"/>
                <w:bCs/>
                <w:color w:val="000000"/>
              </w:rPr>
            </w:pPr>
          </w:p>
        </w:tc>
      </w:tr>
      <w:tr w:rsidR="00DE0C98" w:rsidRPr="00CB1832" w:rsidTr="00846FC0">
        <w:trPr>
          <w:trHeight w:val="1617"/>
        </w:trPr>
        <w:tc>
          <w:tcPr>
            <w:tcW w:w="1679" w:type="dxa"/>
          </w:tcPr>
          <w:p w:rsidR="00DE0C98" w:rsidRPr="00CB1832" w:rsidRDefault="00DE0C98" w:rsidP="00DE0C98">
            <w:pPr>
              <w:spacing w:after="0" w:line="240" w:lineRule="auto"/>
              <w:rPr>
                <w:rFonts w:ascii="Century Gothic" w:hAnsi="Century Gothic" w:cs="Tahoma"/>
                <w:b/>
                <w:bCs/>
                <w:color w:val="000000"/>
              </w:rPr>
            </w:pPr>
            <w:r w:rsidRPr="00CB1832">
              <w:rPr>
                <w:rFonts w:ascii="Century Gothic" w:hAnsi="Century Gothic" w:cs="Tahoma"/>
                <w:b/>
                <w:bCs/>
                <w:color w:val="000000"/>
              </w:rPr>
              <w:lastRenderedPageBreak/>
              <w:t>Assessments</w:t>
            </w:r>
          </w:p>
        </w:tc>
        <w:tc>
          <w:tcPr>
            <w:tcW w:w="4128" w:type="dxa"/>
          </w:tcPr>
          <w:p w:rsidR="00DE0C98" w:rsidRDefault="00DE0C98" w:rsidP="00DE0C98">
            <w:pPr>
              <w:spacing w:after="0" w:line="240" w:lineRule="auto"/>
              <w:rPr>
                <w:rFonts w:ascii="Century Gothic" w:hAnsi="Century Gothic" w:cs="Tahoma"/>
                <w:bCs/>
                <w:color w:val="000000"/>
              </w:rPr>
            </w:pPr>
            <w:r>
              <w:rPr>
                <w:rFonts w:ascii="Century Gothic" w:hAnsi="Century Gothic" w:cs="Tahoma"/>
                <w:bCs/>
                <w:color w:val="000000"/>
              </w:rPr>
              <w:t>Knowledge Quizzes during the unit to texts embedded knowledge.</w:t>
            </w:r>
          </w:p>
          <w:p w:rsidR="00DE0C98" w:rsidRDefault="00DE0C98" w:rsidP="00DE0C98">
            <w:pPr>
              <w:spacing w:after="0" w:line="240" w:lineRule="auto"/>
              <w:rPr>
                <w:rFonts w:ascii="Century Gothic" w:hAnsi="Century Gothic" w:cs="Tahoma"/>
                <w:bCs/>
                <w:color w:val="000000"/>
              </w:rPr>
            </w:pPr>
            <w:r>
              <w:rPr>
                <w:rFonts w:ascii="Century Gothic" w:hAnsi="Century Gothic" w:cs="Tahoma"/>
                <w:bCs/>
                <w:color w:val="000000"/>
              </w:rPr>
              <w:t>Low stakes retrieval quizzes through the Do Now</w:t>
            </w:r>
          </w:p>
          <w:p w:rsidR="00DE0C98" w:rsidRDefault="00DE0C98" w:rsidP="00DE0C98">
            <w:pPr>
              <w:spacing w:after="0" w:line="240" w:lineRule="auto"/>
              <w:rPr>
                <w:rFonts w:ascii="Century Gothic" w:hAnsi="Century Gothic" w:cs="Tahoma"/>
                <w:bCs/>
                <w:color w:val="000000"/>
              </w:rPr>
            </w:pPr>
            <w:r>
              <w:rPr>
                <w:rFonts w:ascii="Century Gothic" w:hAnsi="Century Gothic" w:cs="Tahoma"/>
                <w:bCs/>
                <w:color w:val="000000"/>
              </w:rPr>
              <w:t xml:space="preserve">Extended writing opportunities after each act. </w:t>
            </w:r>
          </w:p>
          <w:p w:rsidR="00DE0C98" w:rsidRDefault="00DE0C98" w:rsidP="00DE0C98">
            <w:pPr>
              <w:spacing w:after="0" w:line="240" w:lineRule="auto"/>
              <w:rPr>
                <w:rFonts w:ascii="Century Gothic" w:hAnsi="Century Gothic" w:cs="Tahoma"/>
                <w:bCs/>
                <w:color w:val="000000"/>
              </w:rPr>
            </w:pPr>
            <w:r>
              <w:rPr>
                <w:rFonts w:ascii="Century Gothic" w:hAnsi="Century Gothic" w:cs="Tahoma"/>
                <w:bCs/>
                <w:color w:val="000000"/>
              </w:rPr>
              <w:t xml:space="preserve">End of unit GCSE style assessment </w:t>
            </w:r>
          </w:p>
          <w:p w:rsidR="00DE0C98" w:rsidRPr="00CB1832" w:rsidRDefault="00DE0C98" w:rsidP="00DE0C98">
            <w:pPr>
              <w:spacing w:after="0" w:line="240" w:lineRule="auto"/>
              <w:rPr>
                <w:rFonts w:ascii="Century Gothic" w:hAnsi="Century Gothic" w:cs="Tahoma"/>
                <w:bCs/>
                <w:color w:val="000000"/>
              </w:rPr>
            </w:pPr>
          </w:p>
        </w:tc>
        <w:tc>
          <w:tcPr>
            <w:tcW w:w="4678" w:type="dxa"/>
          </w:tcPr>
          <w:p w:rsidR="00DE0C98" w:rsidRDefault="00DE0C98" w:rsidP="00DE0C98">
            <w:pPr>
              <w:spacing w:after="0" w:line="240" w:lineRule="auto"/>
              <w:rPr>
                <w:rFonts w:ascii="Century Gothic" w:hAnsi="Century Gothic" w:cs="Tahoma"/>
                <w:bCs/>
                <w:color w:val="000000"/>
              </w:rPr>
            </w:pPr>
            <w:r>
              <w:rPr>
                <w:rFonts w:ascii="Century Gothic" w:hAnsi="Century Gothic" w:cs="Tahoma"/>
                <w:bCs/>
                <w:color w:val="000000"/>
              </w:rPr>
              <w:t>Low stakes retrieval quizzes through the Do Now</w:t>
            </w:r>
          </w:p>
          <w:p w:rsidR="00DE0C98" w:rsidRDefault="00DE0C98" w:rsidP="00DE0C98">
            <w:pPr>
              <w:spacing w:after="0" w:line="240" w:lineRule="auto"/>
              <w:rPr>
                <w:rFonts w:ascii="Century Gothic" w:hAnsi="Century Gothic" w:cs="Tahoma"/>
                <w:bCs/>
                <w:color w:val="000000"/>
              </w:rPr>
            </w:pPr>
            <w:r>
              <w:rPr>
                <w:rFonts w:ascii="Century Gothic" w:hAnsi="Century Gothic" w:cs="Tahoma"/>
                <w:bCs/>
                <w:color w:val="000000"/>
              </w:rPr>
              <w:t xml:space="preserve">Extended writing opportunities after each act. </w:t>
            </w:r>
          </w:p>
          <w:p w:rsidR="00DE0C98" w:rsidRDefault="00DE0C98" w:rsidP="00DE0C98">
            <w:pPr>
              <w:spacing w:after="0" w:line="240" w:lineRule="auto"/>
              <w:rPr>
                <w:rFonts w:ascii="Century Gothic" w:hAnsi="Century Gothic" w:cs="Tahoma"/>
                <w:bCs/>
                <w:color w:val="000000"/>
              </w:rPr>
            </w:pPr>
            <w:r>
              <w:rPr>
                <w:rFonts w:ascii="Century Gothic" w:hAnsi="Century Gothic" w:cs="Tahoma"/>
                <w:bCs/>
                <w:color w:val="000000"/>
              </w:rPr>
              <w:t xml:space="preserve">End of unit GCSE style assessment </w:t>
            </w:r>
          </w:p>
          <w:p w:rsidR="00DE0C98" w:rsidRPr="00CB1832" w:rsidRDefault="00DE0C98" w:rsidP="00DE0C98">
            <w:pPr>
              <w:spacing w:after="0" w:line="240" w:lineRule="auto"/>
              <w:rPr>
                <w:rFonts w:ascii="Century Gothic" w:hAnsi="Century Gothic" w:cs="Tahoma"/>
                <w:bCs/>
                <w:color w:val="000000"/>
              </w:rPr>
            </w:pPr>
          </w:p>
        </w:tc>
        <w:tc>
          <w:tcPr>
            <w:tcW w:w="5094" w:type="dxa"/>
          </w:tcPr>
          <w:p w:rsidR="00DE0C98" w:rsidRDefault="00DE0C98" w:rsidP="00DE0C98">
            <w:pPr>
              <w:spacing w:after="0" w:line="240" w:lineRule="auto"/>
              <w:rPr>
                <w:rFonts w:ascii="Century Gothic" w:hAnsi="Century Gothic" w:cs="Tahoma"/>
                <w:bCs/>
                <w:color w:val="000000"/>
              </w:rPr>
            </w:pPr>
            <w:r>
              <w:rPr>
                <w:rFonts w:ascii="Century Gothic" w:hAnsi="Century Gothic" w:cs="Tahoma"/>
                <w:bCs/>
                <w:color w:val="000000"/>
              </w:rPr>
              <w:t>Knowledge Quizzes during the unit to texts embedded knowledge.</w:t>
            </w:r>
          </w:p>
          <w:p w:rsidR="00DE0C98" w:rsidRDefault="00DE0C98" w:rsidP="00DE0C98">
            <w:pPr>
              <w:spacing w:after="0" w:line="240" w:lineRule="auto"/>
              <w:rPr>
                <w:rFonts w:ascii="Century Gothic" w:hAnsi="Century Gothic" w:cs="Tahoma"/>
                <w:bCs/>
                <w:color w:val="000000"/>
              </w:rPr>
            </w:pPr>
            <w:r>
              <w:rPr>
                <w:rFonts w:ascii="Century Gothic" w:hAnsi="Century Gothic" w:cs="Tahoma"/>
                <w:bCs/>
                <w:color w:val="000000"/>
              </w:rPr>
              <w:t>Low stakes retrieval quizzes through the Do Now</w:t>
            </w:r>
          </w:p>
          <w:p w:rsidR="00DE0C98" w:rsidRDefault="00DE0C98" w:rsidP="00DE0C98">
            <w:pPr>
              <w:spacing w:after="0" w:line="240" w:lineRule="auto"/>
              <w:rPr>
                <w:rFonts w:ascii="Century Gothic" w:hAnsi="Century Gothic" w:cs="Tahoma"/>
                <w:bCs/>
                <w:color w:val="000000"/>
              </w:rPr>
            </w:pPr>
            <w:r>
              <w:rPr>
                <w:rFonts w:ascii="Century Gothic" w:hAnsi="Century Gothic" w:cs="Tahoma"/>
                <w:bCs/>
                <w:color w:val="000000"/>
              </w:rPr>
              <w:t xml:space="preserve">Extended writing opportunities after each act. </w:t>
            </w:r>
          </w:p>
          <w:p w:rsidR="00DE0C98" w:rsidRDefault="00DE0C98" w:rsidP="00DE0C98">
            <w:pPr>
              <w:spacing w:after="0" w:line="240" w:lineRule="auto"/>
              <w:rPr>
                <w:rFonts w:ascii="Century Gothic" w:hAnsi="Century Gothic" w:cs="Tahoma"/>
                <w:bCs/>
                <w:color w:val="000000"/>
              </w:rPr>
            </w:pPr>
            <w:r>
              <w:rPr>
                <w:rFonts w:ascii="Century Gothic" w:hAnsi="Century Gothic" w:cs="Tahoma"/>
                <w:bCs/>
                <w:color w:val="000000"/>
              </w:rPr>
              <w:t xml:space="preserve">End of unit GCSE style assessment </w:t>
            </w:r>
          </w:p>
          <w:p w:rsidR="00DE0C98" w:rsidRPr="00CB1832" w:rsidRDefault="00DE0C98" w:rsidP="00DE0C98">
            <w:pPr>
              <w:rPr>
                <w:rFonts w:ascii="Century Gothic" w:hAnsi="Century Gothic"/>
              </w:rPr>
            </w:pPr>
          </w:p>
        </w:tc>
      </w:tr>
      <w:tr w:rsidR="00DE0C98" w:rsidRPr="00CB1832" w:rsidTr="00846FC0">
        <w:trPr>
          <w:trHeight w:val="808"/>
        </w:trPr>
        <w:tc>
          <w:tcPr>
            <w:tcW w:w="1679" w:type="dxa"/>
          </w:tcPr>
          <w:p w:rsidR="00DE0C98" w:rsidRPr="00CB1832" w:rsidRDefault="00DE0C98" w:rsidP="00DE0C98">
            <w:pPr>
              <w:spacing w:after="0" w:line="240" w:lineRule="auto"/>
              <w:rPr>
                <w:rFonts w:ascii="Century Gothic" w:hAnsi="Century Gothic" w:cs="Tahoma"/>
                <w:b/>
                <w:bCs/>
                <w:color w:val="000000"/>
              </w:rPr>
            </w:pPr>
            <w:r w:rsidRPr="00CB1832">
              <w:rPr>
                <w:rFonts w:ascii="Century Gothic" w:hAnsi="Century Gothic" w:cs="Tahoma"/>
                <w:b/>
                <w:bCs/>
                <w:color w:val="000000"/>
              </w:rPr>
              <w:t>Enrichment</w:t>
            </w:r>
            <w:r>
              <w:rPr>
                <w:rFonts w:ascii="Century Gothic" w:hAnsi="Century Gothic" w:cs="Tahoma"/>
                <w:b/>
                <w:bCs/>
                <w:color w:val="000000"/>
              </w:rPr>
              <w:t xml:space="preserve"> </w:t>
            </w:r>
          </w:p>
        </w:tc>
        <w:tc>
          <w:tcPr>
            <w:tcW w:w="4128" w:type="dxa"/>
          </w:tcPr>
          <w:p w:rsidR="00DE0C98" w:rsidRDefault="00DE0C98" w:rsidP="00DE0C98">
            <w:pPr>
              <w:spacing w:after="0" w:line="240" w:lineRule="auto"/>
              <w:rPr>
                <w:rFonts w:ascii="Century Gothic" w:hAnsi="Century Gothic" w:cs="Tahoma"/>
                <w:bCs/>
                <w:color w:val="000000"/>
              </w:rPr>
            </w:pPr>
            <w:r>
              <w:rPr>
                <w:rFonts w:ascii="Century Gothic" w:hAnsi="Century Gothic" w:cs="Tahoma"/>
                <w:bCs/>
                <w:color w:val="000000"/>
              </w:rPr>
              <w:t>Theatre trips</w:t>
            </w:r>
          </w:p>
        </w:tc>
        <w:tc>
          <w:tcPr>
            <w:tcW w:w="4678" w:type="dxa"/>
          </w:tcPr>
          <w:p w:rsidR="00DE0C98" w:rsidRPr="00CB1832" w:rsidRDefault="00DE0C98" w:rsidP="00DE0C98">
            <w:pPr>
              <w:spacing w:after="0" w:line="240" w:lineRule="auto"/>
              <w:rPr>
                <w:rFonts w:ascii="Century Gothic" w:hAnsi="Century Gothic" w:cs="Tahoma"/>
                <w:bCs/>
                <w:color w:val="000000"/>
              </w:rPr>
            </w:pPr>
            <w:r>
              <w:rPr>
                <w:rFonts w:ascii="Century Gothic" w:hAnsi="Century Gothic" w:cs="Tahoma"/>
                <w:bCs/>
                <w:color w:val="000000"/>
              </w:rPr>
              <w:t>Theatre trips</w:t>
            </w:r>
          </w:p>
        </w:tc>
        <w:tc>
          <w:tcPr>
            <w:tcW w:w="5094" w:type="dxa"/>
          </w:tcPr>
          <w:p w:rsidR="00DE0C98" w:rsidRDefault="00DE0C98" w:rsidP="00DE0C98">
            <w:pPr>
              <w:spacing w:after="0" w:line="240" w:lineRule="auto"/>
              <w:rPr>
                <w:rFonts w:ascii="Century Gothic" w:hAnsi="Century Gothic" w:cs="Tahoma"/>
                <w:bCs/>
                <w:color w:val="000000"/>
              </w:rPr>
            </w:pPr>
          </w:p>
        </w:tc>
      </w:tr>
    </w:tbl>
    <w:p w:rsidR="004A4B6D" w:rsidRPr="00CB1832" w:rsidRDefault="004A4B6D" w:rsidP="00893BFD">
      <w:pPr>
        <w:spacing w:after="0" w:line="240" w:lineRule="auto"/>
        <w:rPr>
          <w:rFonts w:ascii="Century Gothic" w:hAnsi="Century Gothic" w:cs="Tahoma"/>
          <w:bCs/>
          <w:color w:val="000000"/>
        </w:rPr>
      </w:pPr>
    </w:p>
    <w:p w:rsidR="00F60840" w:rsidRPr="00CB1832" w:rsidRDefault="00F60840" w:rsidP="00F60840">
      <w:pPr>
        <w:jc w:val="both"/>
        <w:rPr>
          <w:rFonts w:ascii="Century Gothic" w:hAnsi="Century Gothic"/>
        </w:rPr>
      </w:pPr>
    </w:p>
    <w:p w:rsidR="00587F4D" w:rsidRPr="00CB1832" w:rsidRDefault="00587F4D" w:rsidP="003A017B">
      <w:pPr>
        <w:tabs>
          <w:tab w:val="left" w:pos="3817"/>
        </w:tabs>
        <w:rPr>
          <w:rFonts w:ascii="Century Gothic" w:hAnsi="Century Gothic"/>
          <w:lang w:val="en-US"/>
        </w:rPr>
      </w:pPr>
    </w:p>
    <w:sectPr w:rsidR="00587F4D" w:rsidRPr="00CB1832" w:rsidSect="00C63580">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r w:rsidR="002A7C43">
      <w:rPr>
        <w:noProof/>
        <w:lang w:eastAsia="en-GB"/>
      </w:rPr>
      <w:drawing>
        <wp:anchor distT="0" distB="0" distL="114300" distR="114300" simplePos="0" relativeHeight="251659264" behindDoc="1" locked="0" layoutInCell="1" allowOverlap="1" wp14:anchorId="04A86143" wp14:editId="4AA7F32D">
          <wp:simplePos x="0" y="0"/>
          <wp:positionH relativeFrom="margin">
            <wp:posOffset>0</wp:posOffset>
          </wp:positionH>
          <wp:positionV relativeFrom="paragraph">
            <wp:posOffset>163195</wp:posOffset>
          </wp:positionV>
          <wp:extent cx="2374265" cy="647700"/>
          <wp:effectExtent l="0" t="0" r="6985" b="0"/>
          <wp:wrapTight wrapText="bothSides">
            <wp:wrapPolygon edited="0">
              <wp:start x="0" y="0"/>
              <wp:lineTo x="0" y="20965"/>
              <wp:lineTo x="21490" y="20965"/>
              <wp:lineTo x="21490"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265" cy="647700"/>
                  </a:xfrm>
                  <a:prstGeom prst="rect">
                    <a:avLst/>
                  </a:prstGeom>
                </pic:spPr>
              </pic:pic>
            </a:graphicData>
          </a:graphic>
          <wp14:sizeRelH relativeFrom="margin">
            <wp14:pctWidth>0</wp14:pctWidth>
          </wp14:sizeRelH>
          <wp14:sizeRelV relativeFrom="margin">
            <wp14:pctHeight>0</wp14:pctHeight>
          </wp14:sizeRelV>
        </wp:anchor>
      </w:drawing>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6.5pt;height:215.2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642256"/>
    <w:multiLevelType w:val="hybridMultilevel"/>
    <w:tmpl w:val="506C9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E53AE7"/>
    <w:multiLevelType w:val="hybridMultilevel"/>
    <w:tmpl w:val="D486B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006459"/>
    <w:multiLevelType w:val="hybridMultilevel"/>
    <w:tmpl w:val="F67A60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EF1596"/>
    <w:multiLevelType w:val="hybridMultilevel"/>
    <w:tmpl w:val="BAFCE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277394"/>
    <w:multiLevelType w:val="hybridMultilevel"/>
    <w:tmpl w:val="C974E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AE5ECA"/>
    <w:multiLevelType w:val="hybridMultilevel"/>
    <w:tmpl w:val="307C9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24"/>
  </w:num>
  <w:num w:numId="4">
    <w:abstractNumId w:val="26"/>
  </w:num>
  <w:num w:numId="5">
    <w:abstractNumId w:val="7"/>
  </w:num>
  <w:num w:numId="6">
    <w:abstractNumId w:val="8"/>
  </w:num>
  <w:num w:numId="7">
    <w:abstractNumId w:val="20"/>
  </w:num>
  <w:num w:numId="8">
    <w:abstractNumId w:val="13"/>
  </w:num>
  <w:num w:numId="9">
    <w:abstractNumId w:val="3"/>
  </w:num>
  <w:num w:numId="10">
    <w:abstractNumId w:val="0"/>
  </w:num>
  <w:num w:numId="11">
    <w:abstractNumId w:val="12"/>
  </w:num>
  <w:num w:numId="12">
    <w:abstractNumId w:val="16"/>
  </w:num>
  <w:num w:numId="13">
    <w:abstractNumId w:val="14"/>
  </w:num>
  <w:num w:numId="14">
    <w:abstractNumId w:val="5"/>
  </w:num>
  <w:num w:numId="15">
    <w:abstractNumId w:val="2"/>
  </w:num>
  <w:num w:numId="16">
    <w:abstractNumId w:val="10"/>
  </w:num>
  <w:num w:numId="17">
    <w:abstractNumId w:val="9"/>
  </w:num>
  <w:num w:numId="18">
    <w:abstractNumId w:val="21"/>
  </w:num>
  <w:num w:numId="19">
    <w:abstractNumId w:val="25"/>
  </w:num>
  <w:num w:numId="20">
    <w:abstractNumId w:val="4"/>
  </w:num>
  <w:num w:numId="21">
    <w:abstractNumId w:val="1"/>
  </w:num>
  <w:num w:numId="22">
    <w:abstractNumId w:val="17"/>
  </w:num>
  <w:num w:numId="23">
    <w:abstractNumId w:val="11"/>
  </w:num>
  <w:num w:numId="24">
    <w:abstractNumId w:val="22"/>
  </w:num>
  <w:num w:numId="25">
    <w:abstractNumId w:val="23"/>
  </w:num>
  <w:num w:numId="26">
    <w:abstractNumId w:val="1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12DB6"/>
    <w:rsid w:val="00020CCE"/>
    <w:rsid w:val="00020F31"/>
    <w:rsid w:val="00032223"/>
    <w:rsid w:val="000400BB"/>
    <w:rsid w:val="00042531"/>
    <w:rsid w:val="000438BE"/>
    <w:rsid w:val="0005049A"/>
    <w:rsid w:val="000636AA"/>
    <w:rsid w:val="000E396E"/>
    <w:rsid w:val="000F38D7"/>
    <w:rsid w:val="001016C8"/>
    <w:rsid w:val="00105FE4"/>
    <w:rsid w:val="00127BAD"/>
    <w:rsid w:val="001644CD"/>
    <w:rsid w:val="00170EA7"/>
    <w:rsid w:val="00175BC9"/>
    <w:rsid w:val="001908D3"/>
    <w:rsid w:val="00191FA6"/>
    <w:rsid w:val="001B5652"/>
    <w:rsid w:val="001C7BE3"/>
    <w:rsid w:val="001C7DEB"/>
    <w:rsid w:val="001E2161"/>
    <w:rsid w:val="001F1933"/>
    <w:rsid w:val="001F3EDA"/>
    <w:rsid w:val="002172E8"/>
    <w:rsid w:val="0023423A"/>
    <w:rsid w:val="00235D12"/>
    <w:rsid w:val="00242902"/>
    <w:rsid w:val="002443B5"/>
    <w:rsid w:val="00271847"/>
    <w:rsid w:val="00281902"/>
    <w:rsid w:val="00284018"/>
    <w:rsid w:val="002A3C8F"/>
    <w:rsid w:val="002A7C43"/>
    <w:rsid w:val="002B69AE"/>
    <w:rsid w:val="002C3811"/>
    <w:rsid w:val="002E788E"/>
    <w:rsid w:val="00304B61"/>
    <w:rsid w:val="00311FA6"/>
    <w:rsid w:val="00320616"/>
    <w:rsid w:val="003538FE"/>
    <w:rsid w:val="00355EC5"/>
    <w:rsid w:val="003613BF"/>
    <w:rsid w:val="00397C0F"/>
    <w:rsid w:val="003A017B"/>
    <w:rsid w:val="003A7E33"/>
    <w:rsid w:val="003C3B58"/>
    <w:rsid w:val="00400C82"/>
    <w:rsid w:val="0047269C"/>
    <w:rsid w:val="0047765C"/>
    <w:rsid w:val="004A4B6D"/>
    <w:rsid w:val="004B037E"/>
    <w:rsid w:val="004B7BF4"/>
    <w:rsid w:val="004E52FC"/>
    <w:rsid w:val="005131A6"/>
    <w:rsid w:val="00576408"/>
    <w:rsid w:val="0058029E"/>
    <w:rsid w:val="00584996"/>
    <w:rsid w:val="00587F4D"/>
    <w:rsid w:val="00593832"/>
    <w:rsid w:val="005947D1"/>
    <w:rsid w:val="005A0CCE"/>
    <w:rsid w:val="005A2962"/>
    <w:rsid w:val="005A2CEB"/>
    <w:rsid w:val="005A4F89"/>
    <w:rsid w:val="005D5C09"/>
    <w:rsid w:val="005F6F7C"/>
    <w:rsid w:val="00620529"/>
    <w:rsid w:val="00673BAB"/>
    <w:rsid w:val="006C5CA4"/>
    <w:rsid w:val="006D233D"/>
    <w:rsid w:val="006D2BA0"/>
    <w:rsid w:val="00720A8D"/>
    <w:rsid w:val="007379F5"/>
    <w:rsid w:val="00743396"/>
    <w:rsid w:val="00751202"/>
    <w:rsid w:val="00756187"/>
    <w:rsid w:val="00777C4F"/>
    <w:rsid w:val="007A7F2D"/>
    <w:rsid w:val="00826BBB"/>
    <w:rsid w:val="0083184B"/>
    <w:rsid w:val="00846FC0"/>
    <w:rsid w:val="00864697"/>
    <w:rsid w:val="00893BFD"/>
    <w:rsid w:val="008C0E2C"/>
    <w:rsid w:val="008C354D"/>
    <w:rsid w:val="008D6C35"/>
    <w:rsid w:val="00967B35"/>
    <w:rsid w:val="009753FC"/>
    <w:rsid w:val="009A0BC7"/>
    <w:rsid w:val="009B5639"/>
    <w:rsid w:val="009F115B"/>
    <w:rsid w:val="00A11E89"/>
    <w:rsid w:val="00A22009"/>
    <w:rsid w:val="00A4743F"/>
    <w:rsid w:val="00A5070E"/>
    <w:rsid w:val="00A5359D"/>
    <w:rsid w:val="00A5453B"/>
    <w:rsid w:val="00A91BF6"/>
    <w:rsid w:val="00AC62AF"/>
    <w:rsid w:val="00B57528"/>
    <w:rsid w:val="00B61A10"/>
    <w:rsid w:val="00BD6726"/>
    <w:rsid w:val="00BE1FA1"/>
    <w:rsid w:val="00BF105B"/>
    <w:rsid w:val="00C24C1E"/>
    <w:rsid w:val="00C31356"/>
    <w:rsid w:val="00C42544"/>
    <w:rsid w:val="00C63580"/>
    <w:rsid w:val="00C7134F"/>
    <w:rsid w:val="00C9145B"/>
    <w:rsid w:val="00C96084"/>
    <w:rsid w:val="00CB1832"/>
    <w:rsid w:val="00CB7125"/>
    <w:rsid w:val="00CB72C3"/>
    <w:rsid w:val="00CD2F36"/>
    <w:rsid w:val="00D15A56"/>
    <w:rsid w:val="00D415D0"/>
    <w:rsid w:val="00D45027"/>
    <w:rsid w:val="00D56A3B"/>
    <w:rsid w:val="00DB3B28"/>
    <w:rsid w:val="00DB466C"/>
    <w:rsid w:val="00DB7F16"/>
    <w:rsid w:val="00DC4B86"/>
    <w:rsid w:val="00DD73CF"/>
    <w:rsid w:val="00DE0B69"/>
    <w:rsid w:val="00DE0C98"/>
    <w:rsid w:val="00DE2C62"/>
    <w:rsid w:val="00DE79E4"/>
    <w:rsid w:val="00DF6D55"/>
    <w:rsid w:val="00E36285"/>
    <w:rsid w:val="00E40CB5"/>
    <w:rsid w:val="00E50963"/>
    <w:rsid w:val="00E540A6"/>
    <w:rsid w:val="00E8230A"/>
    <w:rsid w:val="00E96808"/>
    <w:rsid w:val="00EB31D5"/>
    <w:rsid w:val="00EB39EE"/>
    <w:rsid w:val="00ED451C"/>
    <w:rsid w:val="00F024DF"/>
    <w:rsid w:val="00F14C19"/>
    <w:rsid w:val="00F26F79"/>
    <w:rsid w:val="00F42478"/>
    <w:rsid w:val="00F45A2B"/>
    <w:rsid w:val="00F60840"/>
    <w:rsid w:val="00F76251"/>
    <w:rsid w:val="00F96021"/>
    <w:rsid w:val="00FE7508"/>
    <w:rsid w:val="00FF7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205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9492D-24EF-481C-AA70-511CA898E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3251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Ayre</dc:creator>
  <cp:lastModifiedBy>H Carrington</cp:lastModifiedBy>
  <cp:revision>2</cp:revision>
  <cp:lastPrinted>2017-01-30T07:48:00Z</cp:lastPrinted>
  <dcterms:created xsi:type="dcterms:W3CDTF">2025-12-19T13:30:00Z</dcterms:created>
  <dcterms:modified xsi:type="dcterms:W3CDTF">2025-12-19T13:30:00Z</dcterms:modified>
</cp:coreProperties>
</file>