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410"/>
        <w:gridCol w:w="2418"/>
        <w:gridCol w:w="2260"/>
        <w:gridCol w:w="2137"/>
        <w:gridCol w:w="2199"/>
      </w:tblGrid>
      <w:tr w:rsidR="00D56A3B" w:rsidTr="009F79C3">
        <w:tc>
          <w:tcPr>
            <w:tcW w:w="15388" w:type="dxa"/>
            <w:gridSpan w:val="7"/>
          </w:tcPr>
          <w:p w:rsidR="00D56A3B" w:rsidRPr="00D56A3B" w:rsidRDefault="00EC6215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Year 7 - Science</w:t>
            </w:r>
          </w:p>
        </w:tc>
      </w:tr>
      <w:tr w:rsidR="00491FC2" w:rsidTr="001844D8">
        <w:tc>
          <w:tcPr>
            <w:tcW w:w="1838" w:type="dxa"/>
          </w:tcPr>
          <w:p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550" w:type="dxa"/>
            <w:gridSpan w:val="6"/>
          </w:tcPr>
          <w:p w:rsidR="005131A6" w:rsidRPr="006962DC" w:rsidRDefault="006962DC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6962DC">
              <w:rPr>
                <w:rFonts w:ascii="Century Gothic" w:hAnsi="Century Gothic" w:cstheme="minorHAnsi"/>
                <w:bCs/>
                <w:color w:val="000000"/>
              </w:rPr>
              <w:t>In year 7 learners will begin to develop</w:t>
            </w:r>
            <w:r w:rsidRPr="006962DC">
              <w:rPr>
                <w:rFonts w:ascii="Century Gothic" w:hAnsi="Century Gothic" w:cstheme="minorHAnsi"/>
              </w:rPr>
              <w:t xml:space="preserve"> scientific knowledge and conceptual understanding through the specific disciplines of biology, chemistry and physics. They will start to develop an understanding of the nature, processes and methods of science th</w:t>
            </w:r>
            <w:r>
              <w:rPr>
                <w:rFonts w:ascii="Century Gothic" w:hAnsi="Century Gothic" w:cstheme="minorHAnsi"/>
              </w:rPr>
              <w:t>rough different types of scientific</w:t>
            </w:r>
            <w:r w:rsidRPr="006962DC">
              <w:rPr>
                <w:rFonts w:ascii="Century Gothic" w:hAnsi="Century Gothic" w:cstheme="minorHAnsi"/>
              </w:rPr>
              <w:t xml:space="preserve"> enquiries that help them to answer scientific questions about the world around them. Through this learners will lay the foundations needed to </w:t>
            </w:r>
            <w:r>
              <w:rPr>
                <w:rFonts w:ascii="Century Gothic" w:hAnsi="Century Gothic" w:cstheme="minorHAnsi"/>
              </w:rPr>
              <w:t>become</w:t>
            </w:r>
            <w:r w:rsidRPr="006962DC">
              <w:rPr>
                <w:rFonts w:ascii="Century Gothic" w:hAnsi="Century Gothic" w:cstheme="minorHAnsi"/>
              </w:rPr>
              <w:t xml:space="preserve"> equipped with the scientific knowledge required to understand the uses and implications of science, today and for the future.</w:t>
            </w:r>
          </w:p>
        </w:tc>
      </w:tr>
      <w:tr w:rsidR="00491FC2" w:rsidTr="001844D8">
        <w:tc>
          <w:tcPr>
            <w:tcW w:w="1838" w:type="dxa"/>
          </w:tcPr>
          <w:p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2126" w:type="dxa"/>
          </w:tcPr>
          <w:p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1</w:t>
            </w:r>
          </w:p>
        </w:tc>
        <w:tc>
          <w:tcPr>
            <w:tcW w:w="2410" w:type="dxa"/>
          </w:tcPr>
          <w:p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2</w:t>
            </w:r>
          </w:p>
        </w:tc>
        <w:tc>
          <w:tcPr>
            <w:tcW w:w="2418" w:type="dxa"/>
          </w:tcPr>
          <w:p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1</w:t>
            </w:r>
          </w:p>
        </w:tc>
        <w:tc>
          <w:tcPr>
            <w:tcW w:w="2260" w:type="dxa"/>
          </w:tcPr>
          <w:p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2</w:t>
            </w:r>
          </w:p>
        </w:tc>
        <w:tc>
          <w:tcPr>
            <w:tcW w:w="2137" w:type="dxa"/>
          </w:tcPr>
          <w:p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1</w:t>
            </w:r>
          </w:p>
        </w:tc>
        <w:tc>
          <w:tcPr>
            <w:tcW w:w="2199" w:type="dxa"/>
          </w:tcPr>
          <w:p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2</w:t>
            </w:r>
          </w:p>
        </w:tc>
      </w:tr>
      <w:tr w:rsidR="00491FC2" w:rsidTr="001844D8">
        <w:tc>
          <w:tcPr>
            <w:tcW w:w="1838" w:type="dxa"/>
          </w:tcPr>
          <w:p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2126" w:type="dxa"/>
          </w:tcPr>
          <w:p w:rsidR="001C41B2" w:rsidRPr="00130271" w:rsidRDefault="001C41B2" w:rsidP="001C41B2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  <w:r w:rsidRPr="00130271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Cells-</w:t>
            </w:r>
          </w:p>
          <w:p w:rsidR="001C41B2" w:rsidRDefault="001C41B2" w:rsidP="001C41B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130271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Learners will use a range of investigative techniques to understand how organisms rely on cells to carry out life processes.</w:t>
            </w:r>
          </w:p>
          <w:p w:rsidR="002208FD" w:rsidRPr="00130271" w:rsidRDefault="002208FD" w:rsidP="001C41B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:rsidR="00E61B2D" w:rsidRPr="00D87F3D" w:rsidRDefault="00E61B2D" w:rsidP="00E61B2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87F3D">
              <w:rPr>
                <w:rFonts w:ascii="Century Gothic" w:hAnsi="Century Gothic" w:cs="Arial"/>
                <w:b/>
                <w:sz w:val="20"/>
                <w:szCs w:val="20"/>
              </w:rPr>
              <w:t>Particle</w:t>
            </w:r>
            <w:r w:rsidR="00AE46DB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 w:rsidRPr="00D87F3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D87F3D">
              <w:rPr>
                <w:rFonts w:ascii="Century Gothic" w:hAnsi="Century Gothic"/>
                <w:sz w:val="20"/>
                <w:szCs w:val="20"/>
              </w:rPr>
              <w:t>Learners will use a range of investigative</w:t>
            </w:r>
            <w:r w:rsidRPr="00D87F3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D87F3D">
              <w:rPr>
                <w:rFonts w:ascii="Century Gothic" w:hAnsi="Century Gothic"/>
                <w:sz w:val="20"/>
                <w:szCs w:val="20"/>
              </w:rPr>
              <w:t>techniques to understand how solids, liquids and gases behave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how they change state.</w:t>
            </w:r>
            <w:r w:rsidRPr="00D87F3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E61B2D" w:rsidRDefault="00E61B2D" w:rsidP="001C41B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D56A3B" w:rsidRPr="00130271" w:rsidRDefault="00D56A3B" w:rsidP="00683BE3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61B2D" w:rsidRDefault="00E61B2D" w:rsidP="00E61B2D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F</w:t>
            </w:r>
            <w:r w:rsidRPr="00911719">
              <w:rPr>
                <w:rFonts w:ascii="Century Gothic" w:hAnsi="Century Gothic" w:cs="Calibri"/>
                <w:b/>
                <w:sz w:val="20"/>
                <w:szCs w:val="20"/>
              </w:rPr>
              <w:t>orces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 -</w:t>
            </w:r>
            <w:r w:rsidRPr="00911719">
              <w:rPr>
                <w:rFonts w:ascii="Century Gothic" w:hAnsi="Century Gothic" w:cs="Calibri"/>
                <w:sz w:val="20"/>
                <w:szCs w:val="20"/>
              </w:rPr>
              <w:t xml:space="preserve"> Learners will be able to describe how materials behave in special ways when forces such as tension and compression are applied</w:t>
            </w:r>
            <w:r w:rsidRPr="00911719">
              <w:rPr>
                <w:rFonts w:ascii="Century Gothic" w:hAnsi="Century Gothic" w:cs="Calibri"/>
                <w:b/>
                <w:sz w:val="20"/>
                <w:szCs w:val="20"/>
              </w:rPr>
              <w:t>.</w:t>
            </w:r>
          </w:p>
          <w:p w:rsidR="00E61B2D" w:rsidRDefault="00E61B2D" w:rsidP="00EC6215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</w:p>
          <w:p w:rsidR="00E61B2D" w:rsidRPr="00130271" w:rsidRDefault="00E61B2D" w:rsidP="00E61B2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130271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Reproduction</w:t>
            </w:r>
            <w:r w:rsidRPr="00130271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-Learners will look at the main reproductive organs and their function, what happens during puberty, menstruation and pregnancy.</w:t>
            </w:r>
          </w:p>
          <w:p w:rsidR="00E61B2D" w:rsidRDefault="00E61B2D" w:rsidP="00EC6215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</w:p>
          <w:p w:rsidR="00EC6215" w:rsidRPr="00130271" w:rsidRDefault="00EC6215" w:rsidP="00EC621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:rsidR="00EC6215" w:rsidRPr="00130271" w:rsidRDefault="00EC6215" w:rsidP="00EC6215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</w:p>
          <w:p w:rsidR="00EC6215" w:rsidRPr="00130271" w:rsidRDefault="00EC6215" w:rsidP="001C41B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</w:tcPr>
          <w:p w:rsidR="001C41B2" w:rsidRPr="00130271" w:rsidRDefault="00E61B2D" w:rsidP="001C41B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Atoms</w:t>
            </w:r>
            <w:r w:rsidR="00587791">
              <w:rPr>
                <w:rFonts w:ascii="Century Gothic" w:hAnsi="Century Gothic" w:cs="Arial"/>
                <w:b/>
                <w:sz w:val="20"/>
                <w:szCs w:val="20"/>
              </w:rPr>
              <w:t>, Elements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&amp; Compounds </w:t>
            </w:r>
            <w:r w:rsidR="001C41B2" w:rsidRPr="00130271"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1C41B2" w:rsidRPr="00130271">
              <w:rPr>
                <w:rFonts w:ascii="Century Gothic" w:hAnsi="Century Gothic"/>
                <w:sz w:val="20"/>
                <w:szCs w:val="20"/>
              </w:rPr>
              <w:t xml:space="preserve">Learners will learn about </w:t>
            </w:r>
            <w:r w:rsidR="002225FC">
              <w:rPr>
                <w:rFonts w:ascii="Century Gothic" w:hAnsi="Century Gothic"/>
                <w:sz w:val="20"/>
                <w:szCs w:val="20"/>
              </w:rPr>
              <w:t>elements, atoms and compounds,</w:t>
            </w:r>
            <w:r w:rsidR="001C41B2" w:rsidRPr="00130271">
              <w:rPr>
                <w:rFonts w:ascii="Century Gothic" w:hAnsi="Century Gothic"/>
                <w:sz w:val="20"/>
                <w:szCs w:val="20"/>
              </w:rPr>
              <w:t xml:space="preserve"> their </w:t>
            </w:r>
            <w:r w:rsidR="002225FC">
              <w:rPr>
                <w:rFonts w:ascii="Century Gothic" w:hAnsi="Century Gothic"/>
                <w:sz w:val="20"/>
                <w:szCs w:val="20"/>
              </w:rPr>
              <w:t>position in the periodic table and the differences between metals and non-metals.</w:t>
            </w:r>
          </w:p>
          <w:p w:rsidR="002225FC" w:rsidRPr="00130271" w:rsidRDefault="00587791" w:rsidP="002225F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587791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Space</w:t>
            </w:r>
            <w:r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225FC" w:rsidRPr="00130271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-</w:t>
            </w:r>
            <w:r w:rsidR="002225FC" w:rsidRPr="00130271">
              <w:rPr>
                <w:sz w:val="20"/>
                <w:szCs w:val="20"/>
              </w:rPr>
              <w:t xml:space="preserve"> </w:t>
            </w:r>
            <w:r w:rsidR="002225FC" w:rsidRPr="00130271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Learners will understand how forces make things change: their speed, direction and/or shape of an object.</w:t>
            </w:r>
            <w:r w:rsidR="002225FC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</w:p>
          <w:p w:rsidR="002225FC" w:rsidRDefault="002225FC" w:rsidP="00FA3BFB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  <w:r w:rsidRPr="00130271">
              <w:rPr>
                <w:rFonts w:ascii="Century Gothic" w:hAnsi="Century Gothic"/>
                <w:sz w:val="20"/>
                <w:szCs w:val="20"/>
              </w:rPr>
              <w:t xml:space="preserve">Learners will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also </w:t>
            </w:r>
            <w:r w:rsidRPr="00130271">
              <w:rPr>
                <w:rFonts w:ascii="Century Gothic" w:hAnsi="Century Gothic"/>
                <w:sz w:val="20"/>
                <w:szCs w:val="20"/>
              </w:rPr>
              <w:t>understand how the Earth fits into the solar system and the magnitude of the universe.</w:t>
            </w:r>
          </w:p>
          <w:p w:rsidR="003C45A7" w:rsidRPr="00130271" w:rsidRDefault="003C45A7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:rsidR="003C45A7" w:rsidRPr="00130271" w:rsidRDefault="003C45A7" w:rsidP="001C41B2">
            <w:pP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</w:tcPr>
          <w:p w:rsidR="00E61B2D" w:rsidRPr="00130271" w:rsidRDefault="00E61B2D" w:rsidP="00E61B2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30271">
              <w:rPr>
                <w:rFonts w:ascii="Century Gothic" w:hAnsi="Century Gothic"/>
                <w:b/>
                <w:sz w:val="20"/>
                <w:szCs w:val="20"/>
              </w:rPr>
              <w:t>Interdependence -</w:t>
            </w:r>
            <w:r w:rsidRPr="00130271">
              <w:rPr>
                <w:rFonts w:ascii="Century Gothic" w:hAnsi="Century Gothic"/>
                <w:sz w:val="20"/>
                <w:szCs w:val="20"/>
              </w:rPr>
              <w:t>Learners will learn about feeding relationships within a community of organisms.</w:t>
            </w:r>
          </w:p>
          <w:p w:rsidR="001C41B2" w:rsidRPr="00130271" w:rsidRDefault="001C41B2" w:rsidP="001C41B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:rsidR="00587791" w:rsidRDefault="00587791" w:rsidP="00587791">
            <w:pP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AB1D73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Mixtures</w:t>
            </w:r>
            <w:r w:rsidRPr="00AB1D7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- Learners will look at what a pure substance is and how to identify them. They will also learn what a mixture is and the different methods used to separate them.</w:t>
            </w:r>
          </w:p>
          <w:p w:rsidR="00D56A3B" w:rsidRPr="00130271" w:rsidRDefault="001844D8" w:rsidP="001844D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30271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E61B2D" w:rsidRPr="00AB1D73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</w:tcPr>
          <w:p w:rsidR="00587791" w:rsidRDefault="00587791" w:rsidP="005877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Energy </w:t>
            </w:r>
            <w:r w:rsidRPr="00130271">
              <w:rPr>
                <w:rFonts w:ascii="Century Gothic" w:hAnsi="Century Gothic"/>
                <w:b/>
                <w:sz w:val="20"/>
                <w:szCs w:val="20"/>
              </w:rPr>
              <w:t>Transfers-</w:t>
            </w:r>
            <w:r w:rsidRPr="00130271">
              <w:rPr>
                <w:rFonts w:ascii="Century Gothic" w:hAnsi="Century Gothic"/>
                <w:sz w:val="20"/>
                <w:szCs w:val="20"/>
              </w:rPr>
              <w:t>Learners will understand the value of energy, how it is transferred between objects and can be used in physical processes and mechanisms.</w:t>
            </w:r>
          </w:p>
          <w:p w:rsidR="00D56A3B" w:rsidRPr="002225FC" w:rsidRDefault="00D56A3B" w:rsidP="002208F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9" w:type="dxa"/>
          </w:tcPr>
          <w:p w:rsidR="002225FC" w:rsidRDefault="00587791" w:rsidP="002225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Electrical circuits</w:t>
            </w:r>
            <w:bookmarkStart w:id="0" w:name="_GoBack"/>
            <w:bookmarkEnd w:id="0"/>
            <w:r w:rsidR="002225FC">
              <w:rPr>
                <w:rFonts w:ascii="Century Gothic" w:hAnsi="Century Gothic"/>
                <w:b/>
                <w:sz w:val="20"/>
                <w:szCs w:val="20"/>
              </w:rPr>
              <w:t xml:space="preserve"> - </w:t>
            </w:r>
            <w:r w:rsidR="002225FC" w:rsidRPr="00D87F3D">
              <w:rPr>
                <w:rFonts w:ascii="Century Gothic" w:hAnsi="Century Gothic"/>
                <w:sz w:val="20"/>
                <w:szCs w:val="20"/>
              </w:rPr>
              <w:t>Learners will learn the symbols and function of the various circuit components, and use a range of investigative techniques to understand</w:t>
            </w:r>
            <w:r w:rsidR="002225FC">
              <w:rPr>
                <w:rFonts w:ascii="Century Gothic" w:hAnsi="Century Gothic"/>
                <w:sz w:val="20"/>
                <w:szCs w:val="20"/>
              </w:rPr>
              <w:t xml:space="preserve"> how voltage and current varies in circuits</w:t>
            </w:r>
            <w:r w:rsidR="002225FC" w:rsidRPr="00D87F3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:rsidR="00D56A3B" w:rsidRPr="00130271" w:rsidRDefault="00D56A3B" w:rsidP="002225F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F51B8" w:rsidTr="00632C74">
        <w:trPr>
          <w:trHeight w:val="2520"/>
        </w:trPr>
        <w:tc>
          <w:tcPr>
            <w:tcW w:w="1838" w:type="dxa"/>
          </w:tcPr>
          <w:p w:rsidR="008F51B8" w:rsidRPr="00D56A3B" w:rsidRDefault="008F51B8" w:rsidP="008F51B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lastRenderedPageBreak/>
              <w:t>Skills</w:t>
            </w:r>
          </w:p>
        </w:tc>
        <w:tc>
          <w:tcPr>
            <w:tcW w:w="13550" w:type="dxa"/>
            <w:gridSpan w:val="6"/>
          </w:tcPr>
          <w:p w:rsidR="008F51B8" w:rsidRPr="00F0107F" w:rsidRDefault="008F51B8" w:rsidP="008F51B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18"/>
                <w:szCs w:val="20"/>
              </w:rPr>
            </w:pPr>
            <w:r w:rsidRPr="00F0107F">
              <w:rPr>
                <w:rFonts w:ascii="Century Gothic" w:hAnsi="Century Gothic" w:cs="Tahoma"/>
                <w:b/>
                <w:bCs/>
                <w:color w:val="000000"/>
                <w:sz w:val="20"/>
              </w:rPr>
              <w:t>The following skills will be developed throughout the whole of year 7 and will enable learners to build a deep understanding of science</w:t>
            </w:r>
            <w:r w:rsidRPr="00F0107F">
              <w:rPr>
                <w:rFonts w:ascii="Century Gothic" w:hAnsi="Century Gothic" w:cs="Tahoma"/>
                <w:b/>
                <w:bCs/>
                <w:color w:val="000000"/>
                <w:sz w:val="18"/>
                <w:szCs w:val="20"/>
              </w:rPr>
              <w:t xml:space="preserve">: 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355D3">
              <w:rPr>
                <w:rFonts w:ascii="Century Gothic" w:hAnsi="Century Gothic" w:cs="Tahoma"/>
                <w:b/>
                <w:bCs/>
                <w:color w:val="000000"/>
              </w:rPr>
              <w:t>Scientific attitudes: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pay attention to objectivity and concern for accuracy, precision, repeatability and</w:t>
            </w:r>
            <w:r w:rsidR="00A3090B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reproducibility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understand that scientific methods and theories develop as earlier explanations are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modified to take account of new evidence and ideas, together with the importance of</w:t>
            </w:r>
            <w: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publishing results and peer review</w:t>
            </w:r>
          </w:p>
          <w:p w:rsidR="008F51B8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evaluate risks.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355D3">
              <w:rPr>
                <w:rFonts w:ascii="Century Gothic" w:hAnsi="Century Gothic" w:cs="Tahoma"/>
                <w:b/>
                <w:bCs/>
                <w:color w:val="000000"/>
              </w:rPr>
              <w:t>Experimental skills and investigations: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ask questions and develop a line of enquiry based on observations of the real world,</w:t>
            </w:r>
            <w:r w:rsidR="00A3090B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alongside prior knowledge and experience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make predictions using scientific knowledge and understanding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select, plan and carry out the most appropriate types of scientific enquiries to test</w:t>
            </w:r>
            <w: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predictions, including identifying independent, dependent and control variables, where</w:t>
            </w:r>
            <w: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appropriate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use appropriate techniques, apparatus, and materials during fieldwork and laboratory</w:t>
            </w:r>
            <w: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work, paying attention to health and safety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make and record observations and measurements using a range of methods for</w:t>
            </w:r>
            <w: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different investigations; and evaluate the reliability of methods and suggest possible</w:t>
            </w:r>
            <w: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improvements</w:t>
            </w:r>
          </w:p>
          <w:p w:rsidR="008F51B8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apply sampling techniques.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:rsidR="008F51B8" w:rsidRPr="001B1F28" w:rsidRDefault="008F51B8" w:rsidP="008F51B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1B1F28">
              <w:rPr>
                <w:rFonts w:ascii="Century Gothic" w:hAnsi="Century Gothic" w:cs="Tahoma"/>
                <w:b/>
                <w:bCs/>
                <w:color w:val="000000"/>
              </w:rPr>
              <w:t>Analysis and evaluation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: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apply mathematical concepts and calculate results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present observations and data using appropriate methods, including tables and graphs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interpret observations and data, including identifying patterns and using observations,</w:t>
            </w:r>
            <w: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measurements and data to draw conclusions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present reasoned explanations, including explaining data in relation to predictions and</w:t>
            </w:r>
            <w: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hypotheses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evaluate data, showing awareness of potential sources of random and systematic error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 identify further questions arising from their results. </w:t>
            </w:r>
          </w:p>
          <w:p w:rsidR="008F51B8" w:rsidRDefault="008F51B8" w:rsidP="008F51B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  <w:p w:rsidR="008F51B8" w:rsidRPr="001B1F28" w:rsidRDefault="008F51B8" w:rsidP="008F51B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1B1F28">
              <w:rPr>
                <w:rFonts w:ascii="Century Gothic" w:hAnsi="Century Gothic" w:cs="Tahoma"/>
                <w:b/>
                <w:bCs/>
                <w:color w:val="000000"/>
              </w:rPr>
              <w:t>Measurement: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understand and use SI units and IUPAC (International Union of Pure and Applied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Chemistry) chemical nomenclature</w:t>
            </w:r>
          </w:p>
          <w:p w:rsidR="008F51B8" w:rsidRPr="00C355D3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use and derive simple equations and carry out appropriate calculations</w:t>
            </w:r>
          </w:p>
          <w:p w:rsidR="008F51B8" w:rsidRPr="00130271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C355D3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 undertake basic data analysis including simple statistical techniques.</w:t>
            </w:r>
          </w:p>
        </w:tc>
      </w:tr>
      <w:tr w:rsidR="008F51B8" w:rsidTr="001844D8">
        <w:tc>
          <w:tcPr>
            <w:tcW w:w="1838" w:type="dxa"/>
          </w:tcPr>
          <w:p w:rsidR="008F51B8" w:rsidRPr="00D56A3B" w:rsidRDefault="008F51B8" w:rsidP="008F51B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Assessments</w:t>
            </w:r>
          </w:p>
        </w:tc>
        <w:tc>
          <w:tcPr>
            <w:tcW w:w="2126" w:type="dxa"/>
          </w:tcPr>
          <w:p w:rsidR="008F51B8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End of half term test &amp; HFL’S</w:t>
            </w:r>
          </w:p>
          <w:p w:rsidR="008F51B8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410" w:type="dxa"/>
          </w:tcPr>
          <w:p w:rsidR="008F51B8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End of half term test &amp; HFL’S</w:t>
            </w:r>
          </w:p>
          <w:p w:rsidR="008F51B8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418" w:type="dxa"/>
          </w:tcPr>
          <w:p w:rsidR="008F51B8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End of half term test &amp; HFL’S</w:t>
            </w:r>
          </w:p>
          <w:p w:rsidR="008F51B8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260" w:type="dxa"/>
          </w:tcPr>
          <w:p w:rsidR="008F51B8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End of half term test &amp; HFL’S</w:t>
            </w:r>
          </w:p>
          <w:p w:rsidR="008F51B8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137" w:type="dxa"/>
          </w:tcPr>
          <w:p w:rsidR="008F51B8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End of half term test &amp; HFL’S</w:t>
            </w:r>
          </w:p>
          <w:p w:rsidR="008F51B8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199" w:type="dxa"/>
          </w:tcPr>
          <w:p w:rsidR="008F51B8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End of half term test &amp; HFL’S</w:t>
            </w:r>
          </w:p>
          <w:p w:rsidR="008F51B8" w:rsidRDefault="008F51B8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  <w:tr w:rsidR="00F97E3A" w:rsidTr="004B2143">
        <w:tc>
          <w:tcPr>
            <w:tcW w:w="1838" w:type="dxa"/>
          </w:tcPr>
          <w:p w:rsidR="00F97E3A" w:rsidRDefault="00F97E3A" w:rsidP="008F51B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Enrichment</w:t>
            </w:r>
          </w:p>
          <w:p w:rsidR="00F97E3A" w:rsidRPr="00D56A3B" w:rsidRDefault="00F97E3A" w:rsidP="008F51B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</w:tc>
        <w:tc>
          <w:tcPr>
            <w:tcW w:w="13550" w:type="dxa"/>
            <w:gridSpan w:val="6"/>
          </w:tcPr>
          <w:p w:rsidR="00F97E3A" w:rsidRDefault="00F97E3A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Trip to Science and Industry Museum </w:t>
            </w:r>
          </w:p>
          <w:p w:rsidR="00F97E3A" w:rsidRDefault="00F97E3A" w:rsidP="008F51B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Lab Rats</w:t>
            </w:r>
          </w:p>
        </w:tc>
      </w:tr>
    </w:tbl>
    <w:p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3A017B" w:rsidRDefault="003A017B" w:rsidP="009753FC">
      <w:pPr>
        <w:rPr>
          <w:rFonts w:ascii="Century Gothic" w:hAnsi="Century Gothic"/>
          <w:b/>
          <w:sz w:val="20"/>
          <w:szCs w:val="20"/>
          <w:lang w:val="en-US"/>
        </w:rPr>
      </w:pPr>
    </w:p>
    <w:p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587F4D" w:rsidRPr="003A017B" w:rsidRDefault="00587F4D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sectPr w:rsidR="00587F4D" w:rsidRPr="003A017B" w:rsidSect="00C63580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7.15pt;height:215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5614FC8"/>
    <w:multiLevelType w:val="hybridMultilevel"/>
    <w:tmpl w:val="E47C1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0064"/>
    <w:multiLevelType w:val="hybridMultilevel"/>
    <w:tmpl w:val="36140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05713"/>
    <w:multiLevelType w:val="hybridMultilevel"/>
    <w:tmpl w:val="7A9AD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C5CAD"/>
    <w:multiLevelType w:val="hybridMultilevel"/>
    <w:tmpl w:val="447A4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D348C"/>
    <w:multiLevelType w:val="hybridMultilevel"/>
    <w:tmpl w:val="27626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771E"/>
    <w:multiLevelType w:val="hybridMultilevel"/>
    <w:tmpl w:val="24647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335BC"/>
    <w:multiLevelType w:val="hybridMultilevel"/>
    <w:tmpl w:val="75C80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4"/>
  </w:num>
  <w:num w:numId="4">
    <w:abstractNumId w:val="26"/>
  </w:num>
  <w:num w:numId="5">
    <w:abstractNumId w:val="10"/>
  </w:num>
  <w:num w:numId="6">
    <w:abstractNumId w:val="11"/>
  </w:num>
  <w:num w:numId="7">
    <w:abstractNumId w:val="22"/>
  </w:num>
  <w:num w:numId="8">
    <w:abstractNumId w:val="16"/>
  </w:num>
  <w:num w:numId="9">
    <w:abstractNumId w:val="4"/>
  </w:num>
  <w:num w:numId="10">
    <w:abstractNumId w:val="0"/>
  </w:num>
  <w:num w:numId="11">
    <w:abstractNumId w:val="15"/>
  </w:num>
  <w:num w:numId="12">
    <w:abstractNumId w:val="20"/>
  </w:num>
  <w:num w:numId="13">
    <w:abstractNumId w:val="17"/>
  </w:num>
  <w:num w:numId="14">
    <w:abstractNumId w:val="8"/>
  </w:num>
  <w:num w:numId="15">
    <w:abstractNumId w:val="3"/>
  </w:num>
  <w:num w:numId="16">
    <w:abstractNumId w:val="13"/>
  </w:num>
  <w:num w:numId="17">
    <w:abstractNumId w:val="12"/>
  </w:num>
  <w:num w:numId="18">
    <w:abstractNumId w:val="23"/>
  </w:num>
  <w:num w:numId="19">
    <w:abstractNumId w:val="25"/>
  </w:num>
  <w:num w:numId="20">
    <w:abstractNumId w:val="7"/>
  </w:num>
  <w:num w:numId="21">
    <w:abstractNumId w:val="2"/>
  </w:num>
  <w:num w:numId="22">
    <w:abstractNumId w:val="19"/>
  </w:num>
  <w:num w:numId="23">
    <w:abstractNumId w:val="1"/>
  </w:num>
  <w:num w:numId="24">
    <w:abstractNumId w:val="27"/>
  </w:num>
  <w:num w:numId="25">
    <w:abstractNumId w:val="5"/>
  </w:num>
  <w:num w:numId="26">
    <w:abstractNumId w:val="14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400BB"/>
    <w:rsid w:val="00042531"/>
    <w:rsid w:val="0005049A"/>
    <w:rsid w:val="000636AA"/>
    <w:rsid w:val="000F38D7"/>
    <w:rsid w:val="001016C8"/>
    <w:rsid w:val="00105FE4"/>
    <w:rsid w:val="00127BAD"/>
    <w:rsid w:val="00130271"/>
    <w:rsid w:val="001644CD"/>
    <w:rsid w:val="00170EA7"/>
    <w:rsid w:val="001844D8"/>
    <w:rsid w:val="001908D3"/>
    <w:rsid w:val="001B1F28"/>
    <w:rsid w:val="001B2648"/>
    <w:rsid w:val="001B5652"/>
    <w:rsid w:val="001C41B2"/>
    <w:rsid w:val="001C7DEB"/>
    <w:rsid w:val="001D50AF"/>
    <w:rsid w:val="001F1933"/>
    <w:rsid w:val="001F3EDA"/>
    <w:rsid w:val="002172E8"/>
    <w:rsid w:val="002208FD"/>
    <w:rsid w:val="002225FC"/>
    <w:rsid w:val="0023423A"/>
    <w:rsid w:val="00235D12"/>
    <w:rsid w:val="002443B5"/>
    <w:rsid w:val="00281902"/>
    <w:rsid w:val="00284018"/>
    <w:rsid w:val="002A3C8F"/>
    <w:rsid w:val="002A7C43"/>
    <w:rsid w:val="002B69AE"/>
    <w:rsid w:val="002C3811"/>
    <w:rsid w:val="002E788E"/>
    <w:rsid w:val="00304B61"/>
    <w:rsid w:val="00311FA6"/>
    <w:rsid w:val="00320616"/>
    <w:rsid w:val="003538FE"/>
    <w:rsid w:val="00355EC5"/>
    <w:rsid w:val="003613BF"/>
    <w:rsid w:val="00397C0F"/>
    <w:rsid w:val="003A017B"/>
    <w:rsid w:val="003A7E33"/>
    <w:rsid w:val="003C3B58"/>
    <w:rsid w:val="003C45A7"/>
    <w:rsid w:val="00400C82"/>
    <w:rsid w:val="0047269C"/>
    <w:rsid w:val="0047765C"/>
    <w:rsid w:val="00491FC2"/>
    <w:rsid w:val="004A4B6D"/>
    <w:rsid w:val="004B037E"/>
    <w:rsid w:val="004B7BF4"/>
    <w:rsid w:val="004E52FC"/>
    <w:rsid w:val="005131A6"/>
    <w:rsid w:val="00576408"/>
    <w:rsid w:val="0058029E"/>
    <w:rsid w:val="00584996"/>
    <w:rsid w:val="00587791"/>
    <w:rsid w:val="00587F4D"/>
    <w:rsid w:val="00593832"/>
    <w:rsid w:val="005947D1"/>
    <w:rsid w:val="005A0CCE"/>
    <w:rsid w:val="005A2962"/>
    <w:rsid w:val="005A4F89"/>
    <w:rsid w:val="005D5C09"/>
    <w:rsid w:val="00673BAB"/>
    <w:rsid w:val="00683BE3"/>
    <w:rsid w:val="006962DC"/>
    <w:rsid w:val="006C5CA4"/>
    <w:rsid w:val="00743396"/>
    <w:rsid w:val="00751202"/>
    <w:rsid w:val="00777C4F"/>
    <w:rsid w:val="007A7F2D"/>
    <w:rsid w:val="00826BBB"/>
    <w:rsid w:val="0083184B"/>
    <w:rsid w:val="00864697"/>
    <w:rsid w:val="00893BFD"/>
    <w:rsid w:val="008C0E2C"/>
    <w:rsid w:val="008C354D"/>
    <w:rsid w:val="008D6C35"/>
    <w:rsid w:val="008D76E0"/>
    <w:rsid w:val="008F51B8"/>
    <w:rsid w:val="00967B35"/>
    <w:rsid w:val="009753FC"/>
    <w:rsid w:val="009A0BC7"/>
    <w:rsid w:val="009B5639"/>
    <w:rsid w:val="009B6A3B"/>
    <w:rsid w:val="00A11E89"/>
    <w:rsid w:val="00A22009"/>
    <w:rsid w:val="00A3090B"/>
    <w:rsid w:val="00A4743F"/>
    <w:rsid w:val="00A91BF6"/>
    <w:rsid w:val="00AE46DB"/>
    <w:rsid w:val="00B57528"/>
    <w:rsid w:val="00B61A10"/>
    <w:rsid w:val="00BD6726"/>
    <w:rsid w:val="00BE1FA1"/>
    <w:rsid w:val="00C24C1E"/>
    <w:rsid w:val="00C31356"/>
    <w:rsid w:val="00C355D3"/>
    <w:rsid w:val="00C42544"/>
    <w:rsid w:val="00C63580"/>
    <w:rsid w:val="00C7134F"/>
    <w:rsid w:val="00C728BB"/>
    <w:rsid w:val="00C9145B"/>
    <w:rsid w:val="00CB7125"/>
    <w:rsid w:val="00CB72C3"/>
    <w:rsid w:val="00CD2F36"/>
    <w:rsid w:val="00D15A56"/>
    <w:rsid w:val="00D415D0"/>
    <w:rsid w:val="00D56A3B"/>
    <w:rsid w:val="00D93FBE"/>
    <w:rsid w:val="00DB466C"/>
    <w:rsid w:val="00DB7F16"/>
    <w:rsid w:val="00DC4B86"/>
    <w:rsid w:val="00DE0B69"/>
    <w:rsid w:val="00DE2C62"/>
    <w:rsid w:val="00DF6D55"/>
    <w:rsid w:val="00E439BB"/>
    <w:rsid w:val="00E540A6"/>
    <w:rsid w:val="00E61B2D"/>
    <w:rsid w:val="00E8230A"/>
    <w:rsid w:val="00E96808"/>
    <w:rsid w:val="00EB31D5"/>
    <w:rsid w:val="00EB5B0A"/>
    <w:rsid w:val="00EC6215"/>
    <w:rsid w:val="00ED451C"/>
    <w:rsid w:val="00EE63CC"/>
    <w:rsid w:val="00F0107F"/>
    <w:rsid w:val="00F024DF"/>
    <w:rsid w:val="00F14C19"/>
    <w:rsid w:val="00F26F79"/>
    <w:rsid w:val="00F42478"/>
    <w:rsid w:val="00F45A2B"/>
    <w:rsid w:val="00F60840"/>
    <w:rsid w:val="00F76251"/>
    <w:rsid w:val="00F96021"/>
    <w:rsid w:val="00F97E3A"/>
    <w:rsid w:val="00FA3BFB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E2FB7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E61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71ED-A1BC-480B-9DF4-5ED1624D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Ayre</dc:creator>
  <cp:lastModifiedBy>C Parry</cp:lastModifiedBy>
  <cp:revision>6</cp:revision>
  <cp:lastPrinted>2017-01-30T07:48:00Z</cp:lastPrinted>
  <dcterms:created xsi:type="dcterms:W3CDTF">2021-09-03T09:35:00Z</dcterms:created>
  <dcterms:modified xsi:type="dcterms:W3CDTF">2023-07-13T14:55:00Z</dcterms:modified>
</cp:coreProperties>
</file>